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before="0" w:after="0"/>
        <w:jc w:val="both"/>
        <w:rPr/>
      </w:pPr>
      <w:r>
        <w:rPr>
          <w:rFonts w:cs="Trebuchet MS" w:ascii="Trebuchet MS" w:hAnsi="Trebuchet MS"/>
          <w:b/>
          <w:bCs/>
          <w:color w:val="000000"/>
          <w:sz w:val="40"/>
          <w:szCs w:val="40"/>
        </w:rPr>
        <w:t xml:space="preserve">El Gobierno local aprueba la II Fase del Proyecto Municipal de ‘Iluminación Singular’ del centro histórico </w:t>
      </w:r>
    </w:p>
    <w:p>
      <w:pPr>
        <w:pStyle w:val="Cuerpodetexto"/>
        <w:spacing w:lineRule="auto" w:line="240" w:before="0" w:after="0"/>
        <w:jc w:val="both"/>
        <w:rPr>
          <w:rFonts w:ascii="Trebuchet MS" w:hAnsi="Trebuchet MS" w:cs="Trebuchet MS"/>
          <w:b/>
          <w:b/>
          <w:bCs/>
          <w:color w:val="000000"/>
          <w:sz w:val="40"/>
          <w:szCs w:val="40"/>
        </w:rPr>
      </w:pPr>
      <w:r>
        <w:rPr>
          <w:rFonts w:cs="Trebuchet MS" w:ascii="Trebuchet MS" w:hAnsi="Trebuchet MS"/>
          <w:b/>
          <w:bCs/>
          <w:color w:val="000000"/>
          <w:sz w:val="40"/>
          <w:szCs w:val="40"/>
        </w:rPr>
      </w:r>
    </w:p>
    <w:p>
      <w:pPr>
        <w:pStyle w:val="Cuerpodetexto"/>
        <w:spacing w:lineRule="auto" w:line="240" w:before="0" w:after="0"/>
        <w:rPr/>
      </w:pPr>
      <w:r>
        <w:rPr>
          <w:rFonts w:cs="Trebuchet MS" w:ascii="Trebuchet MS" w:hAnsi="Trebuchet MS"/>
          <w:b w:val="false"/>
          <w:i w:val="false"/>
          <w:caps w:val="false"/>
          <w:smallCaps w:val="false"/>
          <w:strike w:val="false"/>
          <w:dstrike w:val="false"/>
          <w:color w:val="000000"/>
          <w:spacing w:val="0"/>
          <w:sz w:val="36"/>
          <w:szCs w:val="36"/>
          <w:highlight w:val="white"/>
          <w:u w:val="none"/>
          <w:effect w:val="none"/>
        </w:rPr>
        <w:t xml:space="preserve">El proceso </w:t>
      </w:r>
      <w:r>
        <w:rPr>
          <w:rFonts w:cs="Trebuchet MS" w:ascii="Trebuchet MS" w:hAnsi="Trebuchet MS"/>
          <w:b w:val="false"/>
          <w:i w:val="false"/>
          <w:caps w:val="false"/>
          <w:smallCaps w:val="false"/>
          <w:strike w:val="false"/>
          <w:dstrike w:val="false"/>
          <w:color w:val="000000"/>
          <w:spacing w:val="0"/>
          <w:sz w:val="36"/>
          <w:szCs w:val="36"/>
          <w:highlight w:val="white"/>
          <w:u w:val="none"/>
          <w:effect w:val="none"/>
        </w:rPr>
        <w:t>de licitación “</w:t>
      </w:r>
      <w:r>
        <w:rPr>
          <w:rFonts w:cs="Trebuchet MS" w:ascii="Trebuchet MS" w:hAnsi="Trebuchet MS"/>
          <w:b w:val="false"/>
          <w:i w:val="false"/>
          <w:caps w:val="false"/>
          <w:smallCaps w:val="false"/>
          <w:strike w:val="false"/>
          <w:dstrike w:val="false"/>
          <w:color w:val="000000"/>
          <w:spacing w:val="0"/>
          <w:sz w:val="36"/>
          <w:szCs w:val="36"/>
          <w:highlight w:val="white"/>
          <w:u w:val="none"/>
          <w:effect w:val="none"/>
        </w:rPr>
        <w:t xml:space="preserve">arrastra un retraso de cuatro meses debido a la tardanza de la Junta en aprobar el proyecto </w:t>
      </w:r>
      <w:r>
        <w:rPr>
          <w:rFonts w:cs="Trebuchet MS" w:ascii="Trebuchet MS" w:hAnsi="Trebuchet MS"/>
          <w:b w:val="false"/>
          <w:i w:val="false"/>
          <w:caps w:val="false"/>
          <w:smallCaps w:val="false"/>
          <w:strike w:val="false"/>
          <w:dstrike w:val="false"/>
          <w:color w:val="000000"/>
          <w:spacing w:val="0"/>
          <w:sz w:val="36"/>
          <w:szCs w:val="36"/>
          <w:highlight w:val="white"/>
          <w:u w:val="none"/>
          <w:effect w:val="none"/>
        </w:rPr>
        <w:t>hasta finales de julio”, ha explicado Díaz</w:t>
      </w:r>
      <w:r>
        <w:rPr>
          <w:rFonts w:cs="Trebuchet MS" w:ascii="Trebuchet MS" w:hAnsi="Trebuchet MS"/>
          <w:b w:val="false"/>
          <w:i w:val="false"/>
          <w:caps w:val="false"/>
          <w:smallCaps w:val="false"/>
          <w:strike w:val="false"/>
          <w:dstrike w:val="false"/>
          <w:color w:val="000000"/>
          <w:spacing w:val="0"/>
          <w:sz w:val="36"/>
          <w:szCs w:val="36"/>
          <w:highlight w:val="white"/>
          <w:u w:val="none"/>
          <w:effect w:val="none"/>
        </w:rPr>
        <w:t xml:space="preserve"> </w:t>
      </w:r>
    </w:p>
    <w:p>
      <w:pPr>
        <w:pStyle w:val="Cuerpodetexto"/>
        <w:spacing w:lineRule="auto" w:line="240" w:before="0" w:after="0"/>
        <w:rPr>
          <w:rFonts w:ascii="Trebuchet MS" w:hAnsi="Trebuchet MS" w:cs="Trebuchet MS"/>
          <w:b w:val="false"/>
          <w:i w:val="false"/>
          <w:caps w:val="false"/>
          <w:smallCaps w:val="false"/>
          <w:strike w:val="false"/>
          <w:dstrike w:val="false"/>
          <w:color w:val="000000"/>
          <w:spacing w:val="0"/>
          <w:sz w:val="36"/>
          <w:szCs w:val="36"/>
          <w:highlight w:val="white"/>
          <w:u w:val="none"/>
          <w:effect w:val="none"/>
        </w:rPr>
      </w:pPr>
      <w:r>
        <w:rPr/>
      </w:r>
    </w:p>
    <w:p>
      <w:pPr>
        <w:pStyle w:val="Cuerpodetexto"/>
        <w:spacing w:lineRule="auto" w:line="240" w:before="0" w:after="0"/>
        <w:rPr/>
      </w:pPr>
      <w:r>
        <w:rPr>
          <w:rFonts w:cs="Trebuchet MS" w:ascii="Trebuchet MS" w:hAnsi="Trebuchet MS"/>
          <w:color w:val="000000"/>
          <w:sz w:val="36"/>
          <w:szCs w:val="36"/>
        </w:rPr>
        <w:t>Supondrá “un nuevo atractivo para reimpuls</w:t>
      </w:r>
      <w:r>
        <w:rPr>
          <w:rFonts w:cs="Trebuchet MS" w:ascii="Trebuchet MS" w:hAnsi="Trebuchet MS"/>
          <w:color w:val="000000"/>
          <w:sz w:val="36"/>
          <w:szCs w:val="36"/>
        </w:rPr>
        <w:t>ar</w:t>
      </w:r>
      <w:r>
        <w:rPr>
          <w:rFonts w:cs="Trebuchet MS" w:ascii="Trebuchet MS" w:hAnsi="Trebuchet MS"/>
          <w:color w:val="000000"/>
          <w:sz w:val="36"/>
          <w:szCs w:val="36"/>
        </w:rPr>
        <w:t xml:space="preserve"> </w:t>
      </w:r>
      <w:r>
        <w:rPr>
          <w:rFonts w:cs="Trebuchet MS" w:ascii="Trebuchet MS" w:hAnsi="Trebuchet MS"/>
          <w:color w:val="000000"/>
          <w:sz w:val="36"/>
          <w:szCs w:val="36"/>
        </w:rPr>
        <w:t xml:space="preserve">los enclaves monumentales del centro </w:t>
      </w:r>
      <w:r>
        <w:rPr>
          <w:rFonts w:cs="Trebuchet MS" w:ascii="Trebuchet MS" w:hAnsi="Trebuchet MS"/>
          <w:color w:val="000000"/>
          <w:sz w:val="36"/>
          <w:szCs w:val="36"/>
        </w:rPr>
        <w:t>y ref</w:t>
      </w:r>
      <w:r>
        <w:rPr>
          <w:rFonts w:cs="Trebuchet MS" w:ascii="Trebuchet MS" w:hAnsi="Trebuchet MS"/>
          <w:color w:val="000000"/>
          <w:sz w:val="36"/>
          <w:szCs w:val="36"/>
        </w:rPr>
        <w:t xml:space="preserve">orzar </w:t>
      </w:r>
      <w:r>
        <w:rPr>
          <w:rFonts w:cs="Trebuchet MS" w:ascii="Trebuchet MS" w:hAnsi="Trebuchet MS"/>
          <w:color w:val="000000"/>
          <w:sz w:val="36"/>
          <w:szCs w:val="36"/>
        </w:rPr>
        <w:t xml:space="preserve">la iluminación de manera sostenible”, </w:t>
      </w:r>
      <w:r>
        <w:rPr>
          <w:rFonts w:cs="Trebuchet MS" w:ascii="Trebuchet MS" w:hAnsi="Trebuchet MS"/>
          <w:color w:val="000000"/>
          <w:sz w:val="36"/>
          <w:szCs w:val="36"/>
        </w:rPr>
        <w:t>ha añadido el teniente de alcaldesa</w:t>
      </w:r>
    </w:p>
    <w:p>
      <w:pPr>
        <w:pStyle w:val="Cuerpodetexto"/>
        <w:spacing w:lineRule="auto" w:line="240" w:before="0" w:after="0"/>
        <w:rPr>
          <w:rFonts w:ascii="Trebuchet MS" w:hAnsi="Trebuchet MS" w:cs="Trebuchet MS"/>
          <w:color w:val="000000"/>
          <w:sz w:val="36"/>
          <w:szCs w:val="36"/>
        </w:rPr>
      </w:pPr>
      <w:r>
        <w:rPr/>
      </w:r>
    </w:p>
    <w:p>
      <w:pPr>
        <w:pStyle w:val="Cuerpodetexto"/>
        <w:spacing w:lineRule="auto" w:line="240" w:before="0" w:after="0"/>
        <w:rPr/>
      </w:pPr>
      <w:r>
        <w:rPr>
          <w:rFonts w:cs="Trebuchet MS" w:ascii="Trebuchet MS" w:hAnsi="Trebuchet MS"/>
          <w:color w:val="000000"/>
          <w:sz w:val="36"/>
          <w:szCs w:val="36"/>
        </w:rPr>
        <w:t>Habrá tres rutas temáticas de iluminación en torno a la historia del vino como bien patrimonial y seña de identidad de Jerez</w:t>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Normal"/>
        <w:shd w:val="clear" w:color="auto" w:fill="FFFFFF"/>
        <w:suppressAutoHyphens w:val="false"/>
        <w:jc w:val="both"/>
        <w:rPr/>
      </w:pPr>
      <w:r>
        <w:rPr>
          <w:rFonts w:cs="Arial" w:ascii="Trebuchet MS" w:hAnsi="Trebuchet MS"/>
          <w:b/>
          <w:color w:val="000000"/>
          <w:sz w:val="26"/>
          <w:szCs w:val="26"/>
          <w:shd w:fill="FFFFFF" w:val="clear"/>
        </w:rPr>
        <w:t>7 de agosto de 2020.</w:t>
      </w:r>
      <w:r>
        <w:rPr>
          <w:rFonts w:cs="Arial" w:ascii="Trebuchet MS" w:hAnsi="Trebuchet MS"/>
          <w:color w:val="000000"/>
          <w:sz w:val="26"/>
          <w:szCs w:val="26"/>
          <w:shd w:fill="FFFFFF" w:val="clear"/>
        </w:rPr>
        <w:t xml:space="preserve"> La Junta de Gobierno local ha aprobado la II Fase del Proyecto Municipal de ‘Iluminación Pública Singular’ del Centro Histórico, que se desarrolla en dos ejes principales en cuanto a sistemas y servicios: iluminación funcional e iluminación ornamental. </w:t>
      </w:r>
      <w:r>
        <w:rPr>
          <w:rFonts w:cs="Arial" w:ascii="Trebuchet MS" w:hAnsi="Trebuchet MS"/>
          <w:color w:val="000000"/>
          <w:sz w:val="26"/>
          <w:szCs w:val="26"/>
          <w:shd w:fill="FFFFFF" w:val="clear"/>
        </w:rPr>
        <w:t>El referido proyecto s</w:t>
      </w:r>
      <w:r>
        <w:rPr>
          <w:rFonts w:cs="Trebuchet MS" w:ascii="Trebuchet MS" w:hAnsi="Trebuchet MS"/>
          <w:b w:val="false"/>
          <w:bCs w:val="false"/>
          <w:color w:val="000000"/>
          <w:sz w:val="26"/>
          <w:szCs w:val="26"/>
          <w:shd w:fill="FFFFFF" w:val="clear"/>
          <w:lang w:eastAsia="es-ES"/>
        </w:rPr>
        <w:t xml:space="preserve">e enmarca dentro del compromiso del Gobierno municipal por impulsar la revitalización del centro histórico, así como en la estrategia diseñada de cara a la  Capitalidad Europea de la Cultura 2031. </w:t>
      </w:r>
    </w:p>
    <w:p>
      <w:pPr>
        <w:pStyle w:val="Normal"/>
        <w:shd w:val="clear" w:color="auto" w:fill="FFFFFF"/>
        <w:suppressAutoHyphens w:val="false"/>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false"/>
        <w:jc w:val="both"/>
        <w:rPr/>
      </w:pPr>
      <w:r>
        <w:rPr>
          <w:rFonts w:cs="Arial" w:ascii="Trebuchet MS" w:hAnsi="Trebuchet MS"/>
          <w:color w:val="000000"/>
          <w:sz w:val="26"/>
          <w:szCs w:val="26"/>
          <w:shd w:fill="FFFFFF" w:val="clear"/>
        </w:rPr>
        <w:t>El teniente de alcaldesa de Urbanismo, Infraestructuras y Medio Ambiente, José Antonio Díaz, ha subrayado “la gran importancia que tiene este proyecto para el impulso estético del centro histórico al resaltar con iluminación especial sus principales enclaves céntricos” y, en un segundo plano, “el refuerzo que se hace de la iluminación funcional en prácticamente todo el centro urbano de Jerez, además de manera sostenible, cumpliendo con el ahorro y la eficiencia energética”.</w:t>
      </w:r>
    </w:p>
    <w:p>
      <w:pPr>
        <w:pStyle w:val="Normal"/>
        <w:shd w:val="clear" w:color="auto" w:fill="FFFFFF"/>
        <w:suppressAutoHyphens w:val="false"/>
        <w:jc w:val="both"/>
        <w:rPr>
          <w:rFonts w:ascii="Trebuchet MS" w:hAnsi="Trebuchet MS" w:cs="Arial"/>
          <w:color w:val="000000"/>
          <w:sz w:val="26"/>
          <w:szCs w:val="26"/>
          <w:highlight w:val="white"/>
        </w:rPr>
      </w:pPr>
      <w:r>
        <w:rPr/>
      </w:r>
    </w:p>
    <w:p>
      <w:pPr>
        <w:pStyle w:val="Normal"/>
        <w:shd w:val="clear" w:color="auto" w:fill="FFFFFF"/>
        <w:suppressAutoHyphens w:val="false"/>
        <w:jc w:val="both"/>
        <w:rPr/>
      </w:pPr>
      <w:r>
        <w:rPr>
          <w:rFonts w:cs="Arial" w:ascii="Trebuchet MS" w:hAnsi="Trebuchet MS"/>
          <w:color w:val="000000"/>
          <w:sz w:val="26"/>
          <w:szCs w:val="26"/>
          <w:shd w:fill="FFFFFF" w:val="clear"/>
        </w:rPr>
        <w:t>Cabe recordar que la Comisión Municipal de Patrimonio Histórico de Jerez informó favorablemente sobre tal proyecto en la sesión celebrada el 3 de marzo del presente año y que la Delegación Territorial de Cádiz de la Consejería de Cultura y Patrimonio Histórico, según resolución del pasado 30 de julio, ha emitido informe favorable al respecto.</w:t>
      </w:r>
    </w:p>
    <w:p>
      <w:pPr>
        <w:pStyle w:val="Normal"/>
        <w:shd w:val="clear" w:color="auto" w:fill="FFFFFF"/>
        <w:suppressAutoHyphens w:val="false"/>
        <w:jc w:val="both"/>
        <w:rPr>
          <w:rFonts w:ascii="Trebuchet MS" w:hAnsi="Trebuchet MS" w:cs="Arial"/>
          <w:color w:val="000000"/>
          <w:sz w:val="26"/>
          <w:szCs w:val="26"/>
          <w:highlight w:val="white"/>
        </w:rPr>
      </w:pPr>
      <w:r>
        <w:rPr/>
      </w:r>
    </w:p>
    <w:p>
      <w:pPr>
        <w:pStyle w:val="Normal"/>
        <w:shd w:val="clear" w:color="auto" w:fill="FFFFFF"/>
        <w:suppressAutoHyphens w:val="false"/>
        <w:jc w:val="both"/>
        <w:rPr/>
      </w:pPr>
      <w:r>
        <w:rPr>
          <w:rFonts w:cs="Arial" w:ascii="Trebuchet MS" w:hAnsi="Trebuchet MS"/>
          <w:color w:val="000000"/>
          <w:sz w:val="26"/>
          <w:szCs w:val="26"/>
          <w:shd w:fill="FFFFFF" w:val="clear"/>
        </w:rPr>
        <w:t>El Gobierno local entiende que “ya llevamos cuatro meses de retraso en el proceso de licitación por el retraso de la Junta en dar luz verde a este proyecto, algo que hicieron el 30 de julio”.</w:t>
      </w:r>
    </w:p>
    <w:p>
      <w:pPr>
        <w:pStyle w:val="Normal"/>
        <w:shd w:val="clear" w:color="auto" w:fill="FFFFFF"/>
        <w:suppressAutoHyphens w:val="false"/>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false"/>
        <w:jc w:val="both"/>
        <w:rPr/>
      </w:pPr>
      <w:r>
        <w:rPr>
          <w:rFonts w:cs="Arial" w:ascii="Trebuchet MS" w:hAnsi="Trebuchet MS"/>
          <w:color w:val="000000"/>
          <w:sz w:val="26"/>
          <w:szCs w:val="26"/>
          <w:shd w:fill="FFFFFF" w:val="clear"/>
        </w:rPr>
        <w:t>“</w:t>
      </w:r>
      <w:r>
        <w:rPr>
          <w:rFonts w:cs="Arial" w:ascii="Trebuchet MS" w:hAnsi="Trebuchet MS"/>
          <w:color w:val="000000"/>
          <w:sz w:val="26"/>
          <w:szCs w:val="26"/>
          <w:shd w:fill="FFFFFF" w:val="clear"/>
        </w:rPr>
        <w:t>Esta inversión y esta apuesta de este Gobierno forma parte de un ‘todo’ para revitalizar y reimpulsar el centro histórico de nuestra ciudad junto a las obras estratégicas encaminadas a ir tejiendo una red peatonal como, por ejemplo, el eje Corredera-Esteve-Santa María, el eje Arroyo-Asunción, el de Honda-Larga o las que ya se han iniciado en plaza Vargas y San Juan de los Caballeros.</w:t>
      </w:r>
    </w:p>
    <w:p>
      <w:pPr>
        <w:pStyle w:val="Normal"/>
        <w:shd w:val="clear" w:color="auto" w:fill="FFFFFF"/>
        <w:suppressAutoHyphens w:val="false"/>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false"/>
        <w:jc w:val="both"/>
        <w:rPr/>
      </w:pPr>
      <w:r>
        <w:rPr>
          <w:rFonts w:cs="Arial" w:ascii="Trebuchet MS" w:hAnsi="Trebuchet MS"/>
          <w:color w:val="000000"/>
          <w:sz w:val="26"/>
          <w:szCs w:val="26"/>
          <w:shd w:fill="FFFFFF" w:val="clear"/>
        </w:rPr>
        <w:t xml:space="preserve">Concretamente, la iluminación ‘funcional’, quedará equilibrada mediante dos basamentos: conjunto formado por farol tipo ‘led’ más sistema de telegestión punto a punto y brazo de diseño con escudo y farol ‘Fernando VII’, adaptándose la luminaria fernandina a tipo ‘led’ dotada de sistema igualmente de telegestión punto a punto basado en la nube. </w:t>
      </w:r>
    </w:p>
    <w:p>
      <w:pPr>
        <w:pStyle w:val="Normal"/>
        <w:shd w:val="clear" w:color="auto" w:fill="FFFFFF"/>
        <w:suppressAutoHyphens w:val="false"/>
        <w:jc w:val="both"/>
        <w:rPr>
          <w:rFonts w:ascii="Trebuchet MS" w:hAnsi="Trebuchet MS" w:cs="Arial"/>
          <w:color w:val="000000"/>
          <w:sz w:val="26"/>
          <w:szCs w:val="26"/>
          <w:highlight w:val="white"/>
        </w:rPr>
      </w:pPr>
      <w:r>
        <w:rPr/>
      </w:r>
    </w:p>
    <w:p>
      <w:pPr>
        <w:pStyle w:val="Normal"/>
        <w:shd w:val="clear" w:color="auto" w:fill="FFFFFF"/>
        <w:suppressAutoHyphens w:val="false"/>
        <w:jc w:val="both"/>
        <w:rPr/>
      </w:pPr>
      <w:r>
        <w:rPr>
          <w:rFonts w:cs="Arial" w:ascii="Trebuchet MS" w:hAnsi="Trebuchet MS"/>
          <w:color w:val="000000"/>
          <w:sz w:val="26"/>
          <w:szCs w:val="26"/>
          <w:shd w:fill="FFFFFF" w:val="clear"/>
        </w:rPr>
        <w:t>Se actúa así en los siguientes enclaves respecto a este tipo de iluminación: Aladro, Cristina, Marqués de Domecq, Rafael Rivero, Porvera, plaza San Marcos, plaza del Clavo, calle San Marcos, Eguilaz, Francos (parcialmente), Sedería, plaza Plateros, Basantes, Padre Luis Bellido, José Luis Díez (parcialmente), Salvador (parcialmente), Pelayo (parcialmente), Cruces, Aire, Visitación, plaza Encarnación, De la Rosa, Manuel María González, Alameda Vieja, Puerto (parcialmente), Armas, Conde de Bayona, San Agustín, Guarnidos, Santa Cecilia, plaza San Miguel, San Pablo, Caballeros, Ancha, plaza Santiago, Merced y Muro (parcialmente).</w:t>
      </w:r>
    </w:p>
    <w:p>
      <w:pPr>
        <w:pStyle w:val="Normal"/>
        <w:shd w:val="clear" w:color="auto" w:fill="FFFFFF"/>
        <w:suppressAutoHyphens w:val="false"/>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false"/>
        <w:jc w:val="both"/>
        <w:rPr/>
      </w:pPr>
      <w:r>
        <w:rPr>
          <w:rFonts w:cs="Arial" w:ascii="Trebuchet MS" w:hAnsi="Trebuchet MS"/>
          <w:color w:val="000000"/>
          <w:sz w:val="26"/>
          <w:szCs w:val="26"/>
          <w:shd w:fill="FFFFFF" w:val="clear"/>
        </w:rPr>
        <w:t>En cuanto a la ‘iluminación ornamental’, que permitirá dotar de iluminación singular los distintos elementos monumentales que se han seleccionado, está compuesta por luminarias, sisgtmeas y servicios integrados en fachada con proyectores de pequeño tamaño o integrados en los faroles o luminarias fijadas a las fachadas, terrazas o barandillas existentes. También se puede dar el caso de ubicaciones de proyectores situados en edificios colindantes o soportes adicionales. Todos contarán con tecnología tipo ‘led’.</w:t>
      </w:r>
    </w:p>
    <w:p>
      <w:pPr>
        <w:pStyle w:val="Normal"/>
        <w:shd w:val="clear" w:color="auto" w:fill="FFFFFF"/>
        <w:suppressAutoHyphens w:val="false"/>
        <w:jc w:val="both"/>
        <w:rPr>
          <w:rFonts w:ascii="Trebuchet MS" w:hAnsi="Trebuchet MS" w:cs="Arial"/>
          <w:color w:val="000000"/>
          <w:sz w:val="26"/>
          <w:szCs w:val="26"/>
          <w:highlight w:val="white"/>
        </w:rPr>
      </w:pPr>
      <w:r>
        <w:rPr/>
      </w:r>
    </w:p>
    <w:p>
      <w:pPr>
        <w:pStyle w:val="Normal"/>
        <w:shd w:val="clear" w:color="auto" w:fill="FFFFFF"/>
        <w:suppressAutoHyphens w:val="false"/>
        <w:jc w:val="both"/>
        <w:rPr>
          <w:b/>
          <w:b/>
          <w:bCs/>
        </w:rPr>
      </w:pPr>
      <w:r>
        <w:rPr>
          <w:rFonts w:cs="Arial" w:ascii="Trebuchet MS" w:hAnsi="Trebuchet MS"/>
          <w:b/>
          <w:bCs/>
          <w:color w:val="000000"/>
          <w:sz w:val="26"/>
          <w:szCs w:val="26"/>
          <w:shd w:fill="FFFFFF" w:val="clear"/>
        </w:rPr>
        <w:t>Presupuesto de 929.925 euros para la II Fase</w:t>
      </w:r>
    </w:p>
    <w:p>
      <w:pPr>
        <w:pStyle w:val="Normal"/>
        <w:shd w:val="clear" w:color="auto" w:fill="FFFFFF"/>
        <w:suppressAutoHyphens w:val="false"/>
        <w:jc w:val="both"/>
        <w:rPr>
          <w:rFonts w:ascii="Trebuchet MS" w:hAnsi="Trebuchet MS" w:cs="Arial"/>
          <w:color w:val="000000"/>
          <w:sz w:val="26"/>
          <w:szCs w:val="26"/>
          <w:highlight w:val="white"/>
        </w:rPr>
      </w:pPr>
      <w:r>
        <w:rPr/>
      </w:r>
    </w:p>
    <w:p>
      <w:pPr>
        <w:pStyle w:val="Normal"/>
        <w:shd w:val="clear" w:color="auto" w:fill="FFFFFF"/>
        <w:suppressAutoHyphens w:val="false"/>
        <w:jc w:val="both"/>
        <w:rPr/>
      </w:pPr>
      <w:r>
        <w:rPr>
          <w:rFonts w:cs="Arial" w:ascii="Trebuchet MS" w:hAnsi="Trebuchet MS"/>
          <w:color w:val="000000"/>
          <w:sz w:val="26"/>
          <w:szCs w:val="26"/>
          <w:shd w:fill="FFFFFF" w:val="clear"/>
        </w:rPr>
        <w:t xml:space="preserve">A este respecto conviene reseñar que la actuación proyectada en los edificios considerados BIC corresponde exclusivamente a la sustitución de proyectores a tecnología tipo ‘led’, no quedando afectado el edificio ni la instalación eléctrica existente. Tales edificios y entornos son los que siguen: Palacio Domecq, Convento Santo Domingo, Porvera, Palacio Petra de la Riva, Palacio Pérez-Luna, Palacio María Luisa, Iglesia de San Marcos, Casa de Juan Haurie, Torre de la Atalaya, iglesia de San Dionisio, Palacio Bertemati, Catedral, Alcázar, plaza San Agustín, entorno de la iglesia San Miguel, entorno de la iglesia de Santiago y entorno de </w:t>
      </w:r>
      <w:r>
        <w:rPr>
          <w:rFonts w:cs="Arial" w:ascii="Trebuchet MS" w:hAnsi="Trebuchet MS"/>
          <w:b w:val="false"/>
          <w:bCs w:val="false"/>
          <w:color w:val="000000"/>
          <w:sz w:val="26"/>
          <w:szCs w:val="26"/>
          <w:shd w:fill="FFFFFF" w:val="clear"/>
        </w:rPr>
        <w:t>la Basílica de La Merced.</w:t>
      </w:r>
    </w:p>
    <w:p>
      <w:pPr>
        <w:pStyle w:val="Normal"/>
        <w:shd w:val="clear" w:color="auto" w:fill="FFFFFF"/>
        <w:suppressAutoHyphens w:val="false"/>
        <w:jc w:val="both"/>
        <w:rPr>
          <w:rFonts w:ascii="Trebuchet MS" w:hAnsi="Trebuchet MS" w:cs="Arial"/>
          <w:i w:val="false"/>
          <w:i w:val="false"/>
          <w:caps w:val="false"/>
          <w:smallCaps w:val="false"/>
          <w:strike w:val="false"/>
          <w:dstrike w:val="false"/>
          <w:spacing w:val="0"/>
          <w:sz w:val="26"/>
          <w:szCs w:val="26"/>
          <w:highlight w:val="white"/>
          <w:u w:val="none"/>
          <w:effect w:val="none"/>
        </w:rPr>
      </w:pPr>
      <w:r>
        <w:rPr>
          <w:rFonts w:cs="Arial" w:ascii="Trebuchet MS" w:hAnsi="Trebuchet MS"/>
          <w:i w:val="false"/>
          <w:caps w:val="false"/>
          <w:smallCaps w:val="false"/>
          <w:strike w:val="false"/>
          <w:dstrike w:val="false"/>
          <w:spacing w:val="0"/>
          <w:sz w:val="26"/>
          <w:szCs w:val="26"/>
          <w:highlight w:val="white"/>
          <w:u w:val="none"/>
          <w:effect w:val="none"/>
        </w:rPr>
      </w:r>
    </w:p>
    <w:p>
      <w:pPr>
        <w:pStyle w:val="Normal"/>
        <w:shd w:val="clear" w:color="auto" w:fill="FFFFFF"/>
        <w:suppressAutoHyphens w:val="false"/>
        <w:jc w:val="both"/>
        <w:rPr/>
      </w:pPr>
      <w:r>
        <w:rPr>
          <w:rFonts w:cs="Arial" w:ascii="Trebuchet MS" w:hAnsi="Trebuchet MS"/>
          <w:b w:val="false"/>
          <w:bCs w:val="false"/>
          <w:i w:val="false"/>
          <w:caps w:val="false"/>
          <w:smallCaps w:val="false"/>
          <w:strike w:val="false"/>
          <w:dstrike w:val="false"/>
          <w:color w:val="000000"/>
          <w:spacing w:val="0"/>
          <w:sz w:val="26"/>
          <w:szCs w:val="26"/>
          <w:u w:val="none"/>
          <w:effect w:val="none"/>
        </w:rPr>
        <w:t xml:space="preserve">El </w:t>
      </w:r>
      <w:r>
        <w:rPr>
          <w:rStyle w:val="Muydestacado"/>
          <w:rFonts w:cs="Arial" w:ascii="Trebuchet MS" w:hAnsi="Trebuchet MS"/>
          <w:b w:val="false"/>
          <w:bCs w:val="false"/>
          <w:color w:val="000000"/>
          <w:sz w:val="26"/>
          <w:szCs w:val="26"/>
        </w:rPr>
        <w:t>proyecto contempla tres rutas temáticas</w:t>
      </w:r>
      <w:r>
        <w:rPr>
          <w:rStyle w:val="Muydestacado"/>
          <w:rFonts w:cs="Arial" w:ascii="Trebuchet MS" w:hAnsi="Trebuchet MS"/>
          <w:b w:val="false"/>
          <w:bCs w:val="false"/>
          <w:caps w:val="false"/>
          <w:smallCaps w:val="false"/>
          <w:strike w:val="false"/>
          <w:dstrike w:val="false"/>
          <w:color w:val="000000"/>
          <w:spacing w:val="0"/>
          <w:sz w:val="26"/>
          <w:szCs w:val="26"/>
          <w:u w:val="none"/>
          <w:effect w:val="none"/>
        </w:rPr>
        <w:t xml:space="preserve"> </w:t>
      </w:r>
      <w:r>
        <w:rPr>
          <w:rFonts w:cs="Arial" w:ascii="Trebuchet MS" w:hAnsi="Trebuchet MS"/>
          <w:b w:val="false"/>
          <w:bCs w:val="false"/>
          <w:i w:val="false"/>
          <w:caps w:val="false"/>
          <w:smallCaps w:val="false"/>
          <w:strike w:val="false"/>
          <w:dstrike w:val="false"/>
          <w:color w:val="000000"/>
          <w:spacing w:val="0"/>
          <w:sz w:val="26"/>
          <w:szCs w:val="26"/>
          <w:u w:val="none"/>
          <w:effect w:val="none"/>
        </w:rPr>
        <w:t>con una inversión to</w:t>
      </w:r>
      <w:r>
        <w:rPr>
          <w:rStyle w:val="Muydestacado"/>
          <w:rFonts w:cs="Arial" w:ascii="Trebuchet MS" w:hAnsi="Trebuchet MS"/>
          <w:b w:val="false"/>
          <w:bCs w:val="false"/>
          <w:color w:val="000000"/>
          <w:sz w:val="26"/>
          <w:szCs w:val="26"/>
        </w:rPr>
        <w:t xml:space="preserve">que giran en torno al vino como seña de identidad de la ciudad. </w:t>
      </w:r>
      <w:r>
        <w:rPr>
          <w:rFonts w:cs="Arial" w:ascii="Trebuchet MS" w:hAnsi="Trebuchet MS"/>
          <w:b w:val="false"/>
          <w:bCs w:val="false"/>
          <w:i w:val="false"/>
          <w:caps w:val="false"/>
          <w:smallCaps w:val="false"/>
          <w:strike w:val="false"/>
          <w:dstrike w:val="false"/>
          <w:color w:val="000000"/>
          <w:spacing w:val="0"/>
          <w:sz w:val="26"/>
          <w:szCs w:val="26"/>
          <w:u w:val="none"/>
          <w:effect w:val="none"/>
        </w:rPr>
        <w:t>Relatarán la historia, la cultura y el patrimonio del vino en Jerez desde el siglo XII hasta nuestros días.</w:t>
      </w:r>
    </w:p>
    <w:p>
      <w:pPr>
        <w:pStyle w:val="Normal"/>
        <w:shd w:val="clear" w:color="auto" w:fill="FFFFFF"/>
        <w:suppressAutoHyphens w:val="false"/>
        <w:jc w:val="both"/>
        <w:rPr>
          <w:rFonts w:ascii="Trebuchet MS" w:hAnsi="Trebuchet MS" w:cs="Arial"/>
          <w:b w:val="false"/>
          <w:b w:val="false"/>
          <w:bCs w:val="false"/>
          <w:i w:val="false"/>
          <w:i w:val="false"/>
          <w:caps w:val="false"/>
          <w:smallCaps w:val="false"/>
          <w:strike w:val="false"/>
          <w:dstrike w:val="false"/>
          <w:color w:val="000000"/>
          <w:spacing w:val="0"/>
          <w:sz w:val="26"/>
          <w:szCs w:val="26"/>
          <w:u w:val="none"/>
          <w:effect w:val="none"/>
        </w:rPr>
      </w:pPr>
      <w:r>
        <w:rPr/>
      </w:r>
    </w:p>
    <w:p>
      <w:pPr>
        <w:pStyle w:val="Normal"/>
        <w:shd w:val="clear" w:color="auto" w:fill="FFFFFF"/>
        <w:suppressAutoHyphens w:val="false"/>
        <w:ind w:left="0" w:right="0" w:hanging="0"/>
        <w:jc w:val="both"/>
        <w:rPr/>
      </w:pP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Esta segunda fase </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aprobada por el Gobierno local</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 tiene un presupuesto de 929.925 euros. </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Se trata de </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un importe similar a la primera fase, que se encuentra en fase de licitación, sumando entre ambas una inversión </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de 1,9 </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millones de euros. Del total de la inversión prevista, el Ayuntamiento aporta el 60%, mientras que el resto va a cargo de fondos Feder (actuación cofinanciada por la Unión Europea mediante el Programa Operativo de Crecimiento Sostenible FEDER 2014-2020</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w:t>
      </w:r>
      <w:r>
        <w:rPr>
          <w:rFonts w:cs="Trebuchet MS" w:ascii="Trebuchet MS" w:hAnsi="Trebuchet MS"/>
          <w:b w:val="false"/>
          <w:bCs w:val="false"/>
          <w:i w:val="false"/>
          <w:caps w:val="false"/>
          <w:smallCaps w:val="false"/>
          <w:strike w:val="false"/>
          <w:dstrike w:val="false"/>
          <w:color w:val="000000"/>
          <w:spacing w:val="0"/>
          <w:sz w:val="26"/>
          <w:szCs w:val="26"/>
          <w:u w:val="none"/>
          <w:effect w:val="none"/>
          <w:lang w:eastAsia="es-ES"/>
        </w:rPr>
        <w:t xml:space="preserve">. </w:t>
      </w:r>
    </w:p>
    <w:p>
      <w:pPr>
        <w:pStyle w:val="Normal"/>
        <w:shd w:val="clear" w:color="auto" w:fill="FFFFFF"/>
        <w:suppressAutoHyphens w:val="false"/>
        <w:jc w:val="both"/>
        <w:rPr>
          <w:rFonts w:ascii="Trebuchet MS" w:hAnsi="Trebuchet MS" w:cs="Arial"/>
          <w:color w:val="000000"/>
          <w:sz w:val="26"/>
          <w:szCs w:val="26"/>
          <w:highlight w:val="white"/>
        </w:rPr>
      </w:pPr>
      <w:r>
        <w:rPr>
          <w:rFonts w:cs="Arial" w:ascii="Trebuchet MS" w:hAnsi="Trebuchet MS"/>
          <w:color w:val="000000"/>
          <w:sz w:val="26"/>
          <w:szCs w:val="26"/>
          <w:highlight w:val="white"/>
        </w:rPr>
      </w:r>
    </w:p>
    <w:p>
      <w:pPr>
        <w:pStyle w:val="Normal"/>
        <w:shd w:val="clear" w:color="auto" w:fill="FFFFFF"/>
        <w:suppressAutoHyphens w:val="false"/>
        <w:jc w:val="both"/>
        <w:rPr/>
      </w:pPr>
      <w:r>
        <w:rPr>
          <w:rFonts w:cs="Arial" w:ascii="Trebuchet MS" w:hAnsi="Trebuchet MS"/>
          <w:i/>
          <w:iCs/>
          <w:color w:val="000000"/>
          <w:sz w:val="26"/>
          <w:szCs w:val="26"/>
          <w:shd w:fill="FFFFFF" w:val="clear"/>
        </w:rPr>
        <w:t xml:space="preserve">(Se adjunta fotografía </w:t>
      </w:r>
      <w:r>
        <w:rPr>
          <w:rFonts w:cs="Arial" w:ascii="Trebuchet MS" w:hAnsi="Trebuchet MS"/>
          <w:i/>
          <w:iCs/>
          <w:color w:val="000000"/>
          <w:sz w:val="26"/>
          <w:szCs w:val="26"/>
          <w:shd w:fill="FFFFFF" w:val="clear"/>
        </w:rPr>
        <w:t>de la Comisión Local de Patrimonio del pasado 3 de marzo del presente año que informó favorablemente del proyecto</w:t>
      </w:r>
      <w:r>
        <w:rPr>
          <w:rFonts w:cs="Arial" w:ascii="Trebuchet MS" w:hAnsi="Trebuchet MS"/>
          <w:i/>
          <w:iCs/>
          <w:color w:val="000000"/>
          <w:sz w:val="26"/>
          <w:szCs w:val="26"/>
          <w:shd w:fill="FFFFFF" w:val="clear"/>
        </w:rPr>
        <w:t>).</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4df"/>
    <w:pPr>
      <w:widowControl/>
      <w:suppressAutoHyphens w:val="true"/>
      <w:bidi w:val="0"/>
      <w:spacing w:lineRule="auto" w:line="240" w:before="0" w:after="0"/>
      <w:jc w:val="left"/>
    </w:pPr>
    <w:rPr>
      <w:rFonts w:ascii="Tahoma" w:hAnsi="Tahoma" w:eastAsia="Times New Roman" w:cs="Tahoma"/>
      <w:color w:val="auto"/>
      <w:kern w:val="0"/>
      <w:sz w:val="24"/>
      <w:szCs w:val="20"/>
      <w:lang w:val="es-ES" w:eastAsia="zh-CN"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8154df"/>
    <w:rPr>
      <w:rFonts w:ascii="Tahoma" w:hAnsi="Tahoma" w:eastAsia="Times New Roman" w:cs="Tahoma"/>
      <w:sz w:val="24"/>
      <w:szCs w:val="20"/>
      <w:lang w:eastAsia="zh-CN"/>
    </w:rPr>
  </w:style>
  <w:style w:type="character" w:styleId="EncabezadoCar" w:customStyle="1">
    <w:name w:val="Encabezado Car"/>
    <w:basedOn w:val="DefaultParagraphFont"/>
    <w:link w:val="Encabezado"/>
    <w:qFormat/>
    <w:rsid w:val="008154df"/>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8154df"/>
    <w:rPr>
      <w:rFonts w:ascii="Tahoma" w:hAnsi="Tahoma" w:eastAsia="Times New Roman" w:cs="Tahoma"/>
      <w:sz w:val="24"/>
      <w:szCs w:val="20"/>
      <w:lang w:eastAsia="zh-CN"/>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8154df"/>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8154df"/>
    <w:pPr>
      <w:tabs>
        <w:tab w:val="clear" w:pos="708"/>
        <w:tab w:val="center" w:pos="4252" w:leader="none"/>
        <w:tab w:val="right" w:pos="8504" w:leader="none"/>
      </w:tabs>
    </w:pPr>
    <w:rPr/>
  </w:style>
  <w:style w:type="paragraph" w:styleId="Piedepgina">
    <w:name w:val="Footer"/>
    <w:basedOn w:val="Normal"/>
    <w:link w:val="PiedepginaCar"/>
    <w:rsid w:val="008154df"/>
    <w:pPr>
      <w:tabs>
        <w:tab w:val="clear" w:pos="708"/>
        <w:tab w:val="center" w:pos="4252" w:leader="none"/>
        <w:tab w:val="right" w:pos="8504" w:leader="none"/>
      </w:tabs>
    </w:pPr>
    <w:rPr/>
  </w:style>
  <w:style w:type="paragraph" w:styleId="NormalWeb">
    <w:name w:val="Normal (Web)"/>
    <w:basedOn w:val="Normal"/>
    <w:uiPriority w:val="99"/>
    <w:qFormat/>
    <w:rsid w:val="008154df"/>
    <w:pPr/>
    <w:rPr>
      <w:rFonts w:ascii="Times New Roman" w:hAnsi="Times New Roman" w:eastAsia="Calibri"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LibreOffice/6.2.7.1$Windows_X86_64 LibreOffice_project/23edc44b61b830b7d749943e020e96f5a7df63bf</Application>
  <Pages>3</Pages>
  <Words>854</Words>
  <Characters>4657</Characters>
  <CharactersWithSpaces>5500</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2020-07-15T08:17:00Z</dcterms:created>
  <dc:creator>trafa</dc:creator>
  <dc:description/>
  <dc:language>es-ES</dc:language>
  <cp:lastModifiedBy/>
  <dcterms:modified xsi:type="dcterms:W3CDTF">2020-08-07T12:23:25Z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