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uppressAutoHyphens w:val="true"/>
        <w:bidi w:val="0"/>
        <w:spacing w:lineRule="auto" w:line="240" w:before="0" w:after="0"/>
        <w:jc w:val="left"/>
        <w:rPr/>
      </w:pPr>
      <w:bookmarkStart w:id="0" w:name="__DdeLink__25_3706233109"/>
      <w:r>
        <w:rPr>
          <w:rFonts w:cs="Trebuchet MS" w:ascii="Trebuchet MS" w:hAnsi="Trebuchet MS"/>
          <w:b/>
          <w:bCs/>
          <w:color w:val="000000"/>
          <w:sz w:val="40"/>
          <w:szCs w:val="40"/>
        </w:rPr>
        <w:t xml:space="preserve">El Gobierno local subraya que “la activación de las obras en la vía pública en vigor genera </w:t>
      </w:r>
      <w:r>
        <w:rPr>
          <w:rFonts w:cs="Trebuchet MS" w:ascii="Trebuchet MS" w:hAnsi="Trebuchet MS"/>
          <w:b/>
          <w:bCs/>
          <w:color w:val="000000"/>
          <w:sz w:val="40"/>
          <w:szCs w:val="40"/>
        </w:rPr>
        <w:t>513</w:t>
      </w:r>
      <w:r>
        <w:rPr>
          <w:rFonts w:cs="Trebuchet MS" w:ascii="Trebuchet MS" w:hAnsi="Trebuchet MS"/>
          <w:b/>
          <w:bCs/>
          <w:color w:val="000000"/>
          <w:sz w:val="40"/>
          <w:szCs w:val="40"/>
        </w:rPr>
        <w:t xml:space="preserve"> empleos” </w:t>
      </w:r>
    </w:p>
    <w:p>
      <w:pPr>
        <w:pStyle w:val="Cuerpodetexto"/>
        <w:suppressAutoHyphens w:val="true"/>
        <w:bidi w:val="0"/>
        <w:spacing w:lineRule="auto" w:line="240" w:before="0" w:after="0"/>
        <w:jc w:val="both"/>
        <w:rPr>
          <w:rFonts w:ascii="Trebuchet MS" w:hAnsi="Trebuchet MS" w:cs="Trebuchet MS"/>
          <w:b/>
          <w:b/>
          <w:bCs/>
          <w:color w:val="000000"/>
          <w:sz w:val="40"/>
          <w:szCs w:val="40"/>
        </w:rPr>
      </w:pPr>
      <w:r>
        <w:rPr>
          <w:rFonts w:cs="Trebuchet MS" w:ascii="Trebuchet MS" w:hAnsi="Trebuchet MS"/>
          <w:b/>
          <w:bCs/>
          <w:color w:val="000000"/>
          <w:sz w:val="40"/>
          <w:szCs w:val="40"/>
        </w:rPr>
      </w:r>
    </w:p>
    <w:p>
      <w:pPr>
        <w:pStyle w:val="Cuerpodetexto"/>
        <w:suppressAutoHyphens w:val="true"/>
        <w:bidi w:val="0"/>
        <w:spacing w:lineRule="auto" w:line="240" w:before="0" w:after="0"/>
        <w:rPr/>
      </w:pPr>
      <w:r>
        <w:rPr>
          <w:rFonts w:cs="Trebuchet MS" w:ascii="Trebuchet MS" w:hAnsi="Trebuchet MS"/>
          <w:color w:val="000000"/>
          <w:sz w:val="36"/>
          <w:szCs w:val="36"/>
        </w:rPr>
        <w:t>Durante las semanas de estado de alarma se activaron las licencias para que pudieran empezar de inmediato las obras al permitir el Gobierno central el trabajo en la vía públicas</w:t>
      </w:r>
    </w:p>
    <w:p>
      <w:pPr>
        <w:pStyle w:val="Cuerpodetexto"/>
        <w:suppressAutoHyphens w:val="true"/>
        <w:bidi w:val="0"/>
        <w:spacing w:lineRule="auto" w:line="240" w:before="0" w:after="0"/>
        <w:rPr>
          <w:rFonts w:ascii="Trebuchet MS" w:hAnsi="Trebuchet MS" w:cs="Trebuchet MS"/>
          <w:color w:val="000000"/>
          <w:sz w:val="36"/>
          <w:szCs w:val="36"/>
        </w:rPr>
      </w:pPr>
      <w:r>
        <w:rPr>
          <w:rFonts w:cs="Trebuchet MS" w:ascii="Trebuchet MS" w:hAnsi="Trebuchet MS"/>
          <w:color w:val="000000"/>
          <w:sz w:val="36"/>
          <w:szCs w:val="36"/>
        </w:rPr>
      </w:r>
    </w:p>
    <w:p>
      <w:pPr>
        <w:pStyle w:val="Cuerpodetexto"/>
        <w:suppressAutoHyphens w:val="true"/>
        <w:bidi w:val="0"/>
        <w:spacing w:lineRule="auto" w:line="240" w:before="0" w:after="0"/>
        <w:rPr/>
      </w:pPr>
      <w:r>
        <w:rPr>
          <w:rFonts w:cs="Trebuchet MS" w:ascii="Trebuchet MS" w:hAnsi="Trebuchet MS"/>
          <w:color w:val="000000"/>
          <w:sz w:val="36"/>
          <w:szCs w:val="36"/>
        </w:rPr>
        <w:t>“</w:t>
      </w:r>
      <w:r>
        <w:rPr>
          <w:rFonts w:cs="Trebuchet MS" w:ascii="Trebuchet MS" w:hAnsi="Trebuchet MS"/>
          <w:color w:val="000000"/>
          <w:sz w:val="36"/>
          <w:szCs w:val="36"/>
        </w:rPr>
        <w:t xml:space="preserve">Nuestra responsabilidad es contribuir a la dinamización de la economía local con inversiones para mejorar Jerez y más aún en este difícil contexto económico”, ha expresado Díaz </w:t>
      </w:r>
    </w:p>
    <w:p>
      <w:pPr>
        <w:pStyle w:val="Cuerpodetexto"/>
        <w:suppressAutoHyphens w:val="true"/>
        <w:bidi w:val="0"/>
        <w:spacing w:lineRule="auto" w:line="240" w:before="0" w:after="0"/>
        <w:rPr>
          <w:rFonts w:ascii="Trebuchet MS" w:hAnsi="Trebuchet MS" w:cs="Trebuchet MS"/>
          <w:color w:val="000000"/>
          <w:sz w:val="36"/>
          <w:szCs w:val="36"/>
        </w:rPr>
      </w:pPr>
      <w:bookmarkStart w:id="1" w:name="_GoBack"/>
      <w:bookmarkStart w:id="2" w:name="_GoBack"/>
      <w:bookmarkEnd w:id="2"/>
      <w:r>
        <w:rPr>
          <w:rFonts w:cs="Trebuchet MS" w:ascii="Trebuchet MS" w:hAnsi="Trebuchet MS"/>
          <w:color w:val="000000"/>
          <w:sz w:val="36"/>
          <w:szCs w:val="36"/>
        </w:rPr>
      </w:r>
    </w:p>
    <w:p>
      <w:pPr>
        <w:pStyle w:val="Normal"/>
        <w:shd w:val="clear" w:color="auto" w:fill="FFFFFF"/>
        <w:suppressAutoHyphens w:val="true"/>
        <w:bidi w:val="0"/>
        <w:jc w:val="both"/>
        <w:rPr/>
      </w:pPr>
      <w:r>
        <w:rPr>
          <w:rFonts w:cs="Arial" w:ascii="Trebuchet MS" w:hAnsi="Trebuchet MS"/>
          <w:b/>
          <w:color w:val="000000"/>
          <w:sz w:val="26"/>
          <w:szCs w:val="26"/>
          <w:shd w:fill="FFFFFF" w:val="clear"/>
        </w:rPr>
        <w:t>9 de agosto de 2020.</w:t>
      </w:r>
      <w:r>
        <w:rPr>
          <w:rFonts w:cs="Arial" w:ascii="Trebuchet MS" w:hAnsi="Trebuchet MS"/>
          <w:color w:val="000000"/>
          <w:sz w:val="26"/>
          <w:szCs w:val="26"/>
          <w:shd w:fill="FFFFFF" w:val="clear"/>
        </w:rPr>
        <w:t xml:space="preserve"> El Gobierno local subraya que “el impulso que estamos dando a las obras en el arreglo del viario público mediante proyectos estratégicos para la ciudad o bien a través de los planes programados de mejora del acerado y entorno” suponen “la dinamización de la economía local por la contratación de empresas que, a su vez, generan empleo directo así como en las que  son derivadas de materiales de estas actuaciones”, ha destacado el teniente de alcaldesa de Urbanismo, Infraestructuras y Medio Ambiente.</w:t>
      </w:r>
    </w:p>
    <w:p>
      <w:pPr>
        <w:pStyle w:val="Normal"/>
        <w:shd w:val="clear" w:color="auto" w:fill="FFFFFF"/>
        <w:suppressAutoHyphens w:val="true"/>
        <w:bidi w:val="0"/>
        <w:jc w:val="both"/>
        <w:rPr>
          <w:rFonts w:ascii="Trebuchet MS" w:hAnsi="Trebuchet MS" w:cs="Arial"/>
          <w:color w:val="000000"/>
          <w:sz w:val="26"/>
          <w:szCs w:val="26"/>
          <w:highlight w:val="white"/>
        </w:rPr>
      </w:pPr>
      <w:r>
        <w:rPr>
          <w:rFonts w:cs="Arial" w:ascii="Trebuchet MS" w:hAnsi="Trebuchet MS"/>
          <w:color w:val="000000"/>
          <w:sz w:val="26"/>
          <w:szCs w:val="26"/>
          <w:highlight w:val="white"/>
        </w:rPr>
      </w:r>
    </w:p>
    <w:p>
      <w:pPr>
        <w:pStyle w:val="Normal"/>
        <w:shd w:val="clear" w:color="auto" w:fill="FFFFFF"/>
        <w:suppressAutoHyphens w:val="true"/>
        <w:bidi w:val="0"/>
        <w:jc w:val="both"/>
        <w:rPr/>
      </w:pPr>
      <w:r>
        <w:rPr>
          <w:rFonts w:cs="Arial" w:ascii="Trebuchet MS" w:hAnsi="Trebuchet MS"/>
          <w:color w:val="000000"/>
          <w:sz w:val="26"/>
          <w:szCs w:val="26"/>
          <w:shd w:fill="FFFFFF" w:val="clear"/>
        </w:rPr>
        <w:t xml:space="preserve">En este especial contexto de crisis debido a la pandemia, “hemos activado las licencias en las semanas de pleno confinamiento para que pudieran activarse las obras nada más se volviera a autorizar el trabajo por parte del Gobierno Central”. </w:t>
      </w:r>
    </w:p>
    <w:p>
      <w:pPr>
        <w:pStyle w:val="Normal"/>
        <w:shd w:val="clear" w:color="auto" w:fill="FFFFFF"/>
        <w:suppressAutoHyphens w:val="true"/>
        <w:bidi w:val="0"/>
        <w:jc w:val="both"/>
        <w:rPr>
          <w:rFonts w:ascii="Trebuchet MS" w:hAnsi="Trebuchet MS" w:cs="Arial"/>
          <w:color w:val="000000"/>
          <w:sz w:val="26"/>
          <w:szCs w:val="26"/>
          <w:highlight w:val="white"/>
        </w:rPr>
      </w:pPr>
      <w:r>
        <w:rPr>
          <w:rFonts w:cs="Arial" w:ascii="Trebuchet MS" w:hAnsi="Trebuchet MS"/>
          <w:color w:val="000000"/>
          <w:sz w:val="26"/>
          <w:szCs w:val="26"/>
          <w:highlight w:val="white"/>
        </w:rPr>
      </w:r>
    </w:p>
    <w:p>
      <w:pPr>
        <w:pStyle w:val="Normal"/>
        <w:shd w:val="clear" w:color="auto" w:fill="FFFFFF"/>
        <w:suppressAutoHyphens w:val="true"/>
        <w:bidi w:val="0"/>
        <w:jc w:val="both"/>
        <w:rPr/>
      </w:pPr>
      <w:r>
        <w:rPr>
          <w:rFonts w:cs="Arial" w:ascii="Trebuchet MS" w:hAnsi="Trebuchet MS"/>
          <w:color w:val="000000"/>
          <w:sz w:val="26"/>
          <w:szCs w:val="26"/>
          <w:shd w:fill="FFFFFF" w:val="clear"/>
        </w:rPr>
        <w:t>Según ha explicado el Gobierno local en la ronda de contactos que se ha mantenido esta semana con la Federación Local de AA.VV. ‘Solidaridad’ y la Federación de AA.VV. ‘La Plazoleta 2.0’, así como con la Asociación ‘Todo Jerez’, “actualmente tenemos en activo 6 proyectos de los 12 que vamos a desarrollar durante el actual mandato municipal”.</w:t>
      </w:r>
    </w:p>
    <w:p>
      <w:pPr>
        <w:pStyle w:val="Normal"/>
        <w:shd w:val="clear" w:color="auto" w:fill="FFFFFF"/>
        <w:suppressAutoHyphens w:val="true"/>
        <w:bidi w:val="0"/>
        <w:jc w:val="both"/>
        <w:rPr>
          <w:rFonts w:ascii="Trebuchet MS" w:hAnsi="Trebuchet MS" w:cs="Arial"/>
          <w:color w:val="000000"/>
          <w:sz w:val="26"/>
          <w:szCs w:val="26"/>
          <w:highlight w:val="white"/>
        </w:rPr>
      </w:pPr>
      <w:r>
        <w:rPr>
          <w:rFonts w:cs="Arial" w:ascii="Trebuchet MS" w:hAnsi="Trebuchet MS"/>
          <w:color w:val="000000"/>
          <w:sz w:val="26"/>
          <w:szCs w:val="26"/>
          <w:highlight w:val="white"/>
        </w:rPr>
      </w:r>
    </w:p>
    <w:p>
      <w:pPr>
        <w:pStyle w:val="Normal"/>
        <w:shd w:val="clear" w:color="auto" w:fill="FFFFFF"/>
        <w:suppressAutoHyphens w:val="true"/>
        <w:bidi w:val="0"/>
        <w:jc w:val="both"/>
        <w:rPr/>
      </w:pPr>
      <w:r>
        <w:rPr>
          <w:rFonts w:cs="Arial" w:ascii="Trebuchet MS" w:hAnsi="Trebuchet MS"/>
          <w:color w:val="000000"/>
          <w:sz w:val="26"/>
          <w:szCs w:val="26"/>
          <w:shd w:fill="FFFFFF" w:val="clear"/>
        </w:rPr>
        <w:t xml:space="preserve">De esta manera, “la activación de las obras en la vía pública en vigor genera 513 empleos”. </w:t>
      </w:r>
      <w:r>
        <w:rPr>
          <w:rFonts w:cs="Arial" w:ascii="Trebuchet MS" w:hAnsi="Trebuchet MS"/>
          <w:color w:val="000000"/>
          <w:sz w:val="26"/>
          <w:szCs w:val="26"/>
          <w:shd w:fill="FFFFFF" w:val="clear"/>
        </w:rPr>
        <w:t>L</w:t>
      </w:r>
      <w:r>
        <w:rPr>
          <w:rFonts w:cs="Arial" w:ascii="Trebuchet MS" w:hAnsi="Trebuchet MS"/>
          <w:color w:val="000000"/>
          <w:sz w:val="26"/>
          <w:szCs w:val="26"/>
          <w:shd w:fill="FFFFFF" w:val="clear"/>
        </w:rPr>
        <w:t xml:space="preserve">a generación de empleos directos en las actuaciones vigentes se cifra en 301 trabajadores directos, </w:t>
      </w:r>
      <w:r>
        <w:rPr>
          <w:rFonts w:cs="Arial" w:ascii="Trebuchet MS" w:hAnsi="Trebuchet MS"/>
          <w:color w:val="000000"/>
          <w:sz w:val="26"/>
          <w:szCs w:val="26"/>
          <w:shd w:fill="FFFFFF" w:val="clear"/>
        </w:rPr>
        <w:t>112 a través de los planes de empleo,</w:t>
      </w:r>
      <w:bookmarkEnd w:id="0"/>
      <w:r>
        <w:rPr>
          <w:rFonts w:cs="Arial" w:ascii="Trebuchet MS" w:hAnsi="Trebuchet MS"/>
          <w:color w:val="000000"/>
          <w:sz w:val="26"/>
          <w:szCs w:val="26"/>
          <w:shd w:fill="FFFFFF" w:val="clear"/>
        </w:rPr>
        <w:t xml:space="preserve"> y la estimación de 100 de manera indirecta a razón de las siguientes San Juan de los Caballeros (19), plaza Vargas y entorno (10), eje Corredera-Esteve-Santa María (20), cine Astoria (14), urbanización futura Jefatura de la Policía Local (31), plaza del Banco (6), La Atalaya (35), Centro Cívico Delicias (26), reforma de acerados de Blas Infante, Europa y Rey Juan Carlos I (88 del Plan de Empleo, que ha sido financiado con 480.000 euros por parte del Ayuntamiento para que Jerez pudiera acogerse al mismo) así como el plan de reasfaltado ‘Marea Negra’ (20) y la reforma viaria en Icovesa (12).</w:t>
      </w:r>
    </w:p>
    <w:p>
      <w:pPr>
        <w:pStyle w:val="Normal"/>
        <w:shd w:val="clear" w:color="auto" w:fill="FFFFFF"/>
        <w:suppressAutoHyphens w:val="true"/>
        <w:bidi w:val="0"/>
        <w:jc w:val="both"/>
        <w:rPr>
          <w:rFonts w:ascii="Trebuchet MS" w:hAnsi="Trebuchet MS" w:cs="Arial"/>
          <w:color w:val="000000"/>
          <w:sz w:val="26"/>
          <w:szCs w:val="26"/>
          <w:highlight w:val="white"/>
        </w:rPr>
      </w:pPr>
      <w:r>
        <w:rPr>
          <w:rFonts w:cs="Arial" w:ascii="Trebuchet MS" w:hAnsi="Trebuchet MS"/>
          <w:color w:val="000000"/>
          <w:sz w:val="26"/>
          <w:szCs w:val="26"/>
          <w:highlight w:val="white"/>
        </w:rPr>
      </w:r>
    </w:p>
    <w:p>
      <w:pPr>
        <w:pStyle w:val="Normal"/>
        <w:shd w:val="clear" w:color="auto" w:fill="FFFFFF"/>
        <w:suppressAutoHyphens w:val="true"/>
        <w:bidi w:val="0"/>
        <w:jc w:val="both"/>
        <w:rPr/>
      </w:pPr>
      <w:r>
        <w:rPr>
          <w:rFonts w:cs="Arial" w:ascii="Trebuchet MS" w:hAnsi="Trebuchet MS"/>
          <w:i/>
          <w:iCs/>
          <w:color w:val="000000"/>
          <w:sz w:val="26"/>
          <w:szCs w:val="26"/>
          <w:shd w:fill="FFFFFF" w:val="clear"/>
        </w:rPr>
        <w:t>(Se adjunta fotografía de José Antonio Díaz en supervisión de las obras de San Juan de los Caballeros).</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112520" cy="928497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04" t="-88" r="-704" b="-88"/>
                  <a:stretch>
                    <a:fillRect/>
                  </a:stretch>
                </pic:blipFill>
                <pic:spPr bwMode="auto">
                  <a:xfrm>
                    <a:off x="0" y="0"/>
                    <a:ext cx="1112520" cy="928497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737235" cy="125476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50" t="-23" r="-50" b="-23"/>
                  <a:stretch>
                    <a:fillRect/>
                  </a:stretch>
                </pic:blipFill>
                <pic:spPr bwMode="auto">
                  <a:xfrm>
                    <a:off x="0" y="0"/>
                    <a:ext cx="737235" cy="1254760"/>
                  </a:xfrm>
                  <a:prstGeom prst="rect">
                    <a:avLst/>
                  </a:prstGeom>
                </pic:spPr>
              </pic:pic>
            </a:graphicData>
          </a:graphic>
        </wp:anchor>
      </w:drawing>
    </w:r>
  </w:p>
</w:hdr>
</file>

<file path=word/settings.xml><?xml version="1.0" encoding="utf-8"?>
<w:settings xmlns:w="http://schemas.openxmlformats.org/wordprocessingml/2006/main">
  <w:zoom w:percent="16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54df"/>
    <w:pPr>
      <w:widowControl/>
      <w:suppressAutoHyphens w:val="true"/>
      <w:bidi w:val="0"/>
      <w:spacing w:lineRule="auto" w:line="240" w:before="0" w:after="0"/>
      <w:jc w:val="left"/>
    </w:pPr>
    <w:rPr>
      <w:rFonts w:ascii="Tahoma" w:hAnsi="Tahoma" w:eastAsia="Times New Roman" w:cs="Tahoma"/>
      <w:color w:val="00000A"/>
      <w:kern w:val="0"/>
      <w:sz w:val="24"/>
      <w:szCs w:val="20"/>
      <w:lang w:val="es-ES" w:eastAsia="zh-CN"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8154df"/>
    <w:rPr>
      <w:rFonts w:ascii="Tahoma" w:hAnsi="Tahoma" w:eastAsia="Times New Roman" w:cs="Tahoma"/>
      <w:sz w:val="24"/>
      <w:szCs w:val="20"/>
      <w:lang w:eastAsia="zh-CN"/>
    </w:rPr>
  </w:style>
  <w:style w:type="character" w:styleId="EncabezadoCar" w:customStyle="1">
    <w:name w:val="Encabezado Car"/>
    <w:basedOn w:val="DefaultParagraphFont"/>
    <w:link w:val="Encabezado"/>
    <w:qFormat/>
    <w:rsid w:val="008154df"/>
    <w:rPr>
      <w:rFonts w:ascii="Tahoma" w:hAnsi="Tahoma" w:eastAsia="Times New Roman" w:cs="Tahoma"/>
      <w:sz w:val="24"/>
      <w:szCs w:val="20"/>
      <w:lang w:eastAsia="zh-CN"/>
    </w:rPr>
  </w:style>
  <w:style w:type="character" w:styleId="PiedepginaCar" w:customStyle="1">
    <w:name w:val="Pie de página Car"/>
    <w:basedOn w:val="DefaultParagraphFont"/>
    <w:link w:val="Piedepgina"/>
    <w:qFormat/>
    <w:rsid w:val="008154df"/>
    <w:rPr>
      <w:rFonts w:ascii="Tahoma" w:hAnsi="Tahoma" w:eastAsia="Times New Roman" w:cs="Tahoma"/>
      <w:sz w:val="24"/>
      <w:szCs w:val="20"/>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8154df"/>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rsid w:val="008154df"/>
    <w:pPr>
      <w:tabs>
        <w:tab w:val="center" w:pos="4252" w:leader="none"/>
        <w:tab w:val="right" w:pos="8504" w:leader="none"/>
      </w:tabs>
    </w:pPr>
    <w:rPr/>
  </w:style>
  <w:style w:type="paragraph" w:styleId="Piedepgina">
    <w:name w:val="Footer"/>
    <w:basedOn w:val="Normal"/>
    <w:link w:val="PiedepginaCar"/>
    <w:rsid w:val="008154df"/>
    <w:pPr>
      <w:tabs>
        <w:tab w:val="center" w:pos="4252" w:leader="none"/>
        <w:tab w:val="right" w:pos="8504" w:leader="none"/>
      </w:tabs>
    </w:pPr>
    <w:rPr/>
  </w:style>
  <w:style w:type="paragraph" w:styleId="NormalWeb">
    <w:name w:val="Normal (Web)"/>
    <w:basedOn w:val="Normal"/>
    <w:uiPriority w:val="99"/>
    <w:qFormat/>
    <w:rsid w:val="008154df"/>
    <w:pPr/>
    <w:rPr>
      <w:rFonts w:ascii="Times New Roman" w:hAnsi="Times New Roman" w:eastAsia="Calibri"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LibreOffice/5.4.7.2$Windows_X86_64 LibreOffice_project/c838ef25c16710f8838b1faec480ebba495259d0</Application>
  <Pages>2</Pages>
  <Words>418</Words>
  <Characters>2082</Characters>
  <CharactersWithSpaces>2496</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2020-07-15T08:17:00Z</dcterms:created>
  <dc:creator>trafa</dc:creator>
  <dc:description/>
  <dc:language>es-ES</dc:language>
  <cp:lastModifiedBy/>
  <dcterms:modified xsi:type="dcterms:W3CDTF">2020-08-08T10:14:00Z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