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pBdr>
        <w:jc w:val="right"/>
        <w:rPr/>
      </w:pPr>
      <w:r>
        <w:rPr>
          <w:b/>
          <w:sz w:val="22"/>
          <w:szCs w:val="22"/>
        </w:rPr>
        <w:t>Nota de prensa</w:t>
      </w:r>
    </w:p>
    <w:p>
      <w:pPr>
        <w:pStyle w:val="Normal"/>
        <w:jc w:val="right"/>
        <w:rPr>
          <w:sz w:val="22"/>
          <w:szCs w:val="22"/>
        </w:rPr>
      </w:pPr>
      <w:r>
        <w:rPr>
          <w:sz w:val="22"/>
          <w:szCs w:val="22"/>
        </w:rPr>
      </w:r>
    </w:p>
    <w:p>
      <w:pPr>
        <w:pStyle w:val="Normal"/>
        <w:jc w:val="center"/>
        <w:rPr>
          <w:sz w:val="22"/>
          <w:szCs w:val="22"/>
        </w:rPr>
      </w:pPr>
      <w:r>
        <w:rPr>
          <w:sz w:val="22"/>
          <w:szCs w:val="22"/>
        </w:rPr>
      </w:r>
    </w:p>
    <w:p>
      <w:pPr>
        <w:pStyle w:val="Normal"/>
        <w:tabs>
          <w:tab w:val="clear" w:pos="720"/>
          <w:tab w:val="left" w:pos="2977" w:leader="none"/>
        </w:tabs>
        <w:spacing w:lineRule="auto" w:line="276"/>
        <w:jc w:val="center"/>
        <w:rPr/>
      </w:pPr>
      <w:r>
        <w:rPr>
          <w:b/>
          <w:sz w:val="40"/>
          <w:szCs w:val="40"/>
        </w:rPr>
        <w:t>Abierto el plazo para votar las mejores iniciativas presentadas en el plan estratégico de desarrollo local de la Zona Sur de Jerez</w:t>
      </w:r>
    </w:p>
    <w:p>
      <w:pPr>
        <w:pStyle w:val="Normal"/>
        <w:widowControl/>
        <w:jc w:val="left"/>
        <w:rPr/>
      </w:pPr>
      <w:r>
        <w:rPr>
          <w:rFonts w:eastAsia="Calibri" w:cs="Calibri" w:ascii="Calibri" w:hAnsi="Calibri"/>
          <w:color w:val="000000"/>
        </w:rPr>
        <w:t xml:space="preserve"> </w:t>
      </w:r>
    </w:p>
    <w:p>
      <w:pPr>
        <w:pStyle w:val="Normal"/>
        <w:widowControl/>
        <w:numPr>
          <w:ilvl w:val="0"/>
          <w:numId w:val="1"/>
        </w:numPr>
        <w:rPr>
          <w:sz w:val="22"/>
          <w:szCs w:val="22"/>
        </w:rPr>
      </w:pPr>
      <w:r>
        <w:rPr>
          <w:b/>
          <w:sz w:val="22"/>
          <w:szCs w:val="22"/>
        </w:rPr>
        <w:t xml:space="preserve">El plan estratégico de desarrollo local de la Zona Sur puesto en marcha en el marco del proyecto de Intervención Comunitaria Intercultural (ICI), tiene como objetivo fortalecer el desarrollo económico local y la competitividad del territorio, posicionando a la ciudad como un referente en inclusión y desarrollo, de cara a 2025. </w:t>
      </w:r>
    </w:p>
    <w:p>
      <w:pPr>
        <w:pStyle w:val="Normal"/>
        <w:widowControl/>
        <w:ind w:left="720" w:hanging="0"/>
        <w:rPr>
          <w:sz w:val="22"/>
          <w:szCs w:val="22"/>
        </w:rPr>
      </w:pPr>
      <w:r>
        <w:rPr>
          <w:sz w:val="22"/>
          <w:szCs w:val="22"/>
        </w:rPr>
      </w:r>
    </w:p>
    <w:p>
      <w:pPr>
        <w:pStyle w:val="Normal"/>
        <w:widowControl/>
        <w:numPr>
          <w:ilvl w:val="0"/>
          <w:numId w:val="1"/>
        </w:numPr>
        <w:rPr>
          <w:b/>
          <w:b/>
          <w:sz w:val="22"/>
          <w:szCs w:val="22"/>
        </w:rPr>
      </w:pPr>
      <w:r>
        <w:rPr>
          <w:b/>
          <w:sz w:val="22"/>
          <w:szCs w:val="22"/>
        </w:rPr>
        <w:t>De las 75 propuestas presentadas y evaluadas por un comité técnico municipal, será la ciudadanía la que decida mediante votación telemática cuáles son las más interesantes y se ejecutarán con mayor prioridad.</w:t>
      </w:r>
    </w:p>
    <w:p>
      <w:pPr>
        <w:pStyle w:val="Normal"/>
        <w:widowControl/>
        <w:ind w:left="720" w:hanging="0"/>
        <w:rPr>
          <w:sz w:val="22"/>
          <w:szCs w:val="22"/>
        </w:rPr>
      </w:pPr>
      <w:r>
        <w:rPr>
          <w:sz w:val="22"/>
          <w:szCs w:val="22"/>
        </w:rPr>
      </w:r>
    </w:p>
    <w:p>
      <w:pPr>
        <w:pStyle w:val="Normal"/>
        <w:widowControl/>
        <w:numPr>
          <w:ilvl w:val="0"/>
          <w:numId w:val="1"/>
        </w:numPr>
        <w:rPr>
          <w:sz w:val="22"/>
          <w:szCs w:val="22"/>
        </w:rPr>
      </w:pPr>
      <w:r>
        <w:rPr>
          <w:b/>
          <w:sz w:val="22"/>
          <w:szCs w:val="22"/>
        </w:rPr>
        <w:t xml:space="preserve">El Ayuntamiento de Jerez incorpora a la política local el camino emprendido por el Proyecto ICI y continuará liderando el Proceso Comunitario y su transferencia a otras zonas, apoyando a la entidad dinamizadora CEAin, y manteniendo el espacio de cooperación interinstitucional donde seguirán participando la Junta de Andalucía, Fundación la Caixa, Fundación Cajasol, Cáritas. Fundación Secretariado Gitano. </w:t>
      </w:r>
    </w:p>
    <w:p>
      <w:pPr>
        <w:pStyle w:val="Normal"/>
        <w:widowControl/>
        <w:ind w:left="720" w:hanging="0"/>
        <w:rPr>
          <w:b/>
          <w:b/>
          <w:sz w:val="22"/>
          <w:szCs w:val="22"/>
        </w:rPr>
      </w:pPr>
      <w:r>
        <w:rPr>
          <w:b/>
          <w:sz w:val="22"/>
          <w:szCs w:val="22"/>
        </w:rPr>
      </w:r>
    </w:p>
    <w:p>
      <w:pPr>
        <w:pStyle w:val="Normal"/>
        <w:jc w:val="center"/>
        <w:rPr>
          <w:color w:val="000000"/>
          <w:sz w:val="22"/>
          <w:szCs w:val="22"/>
        </w:rPr>
      </w:pPr>
      <w:r>
        <w:rPr>
          <w:color w:val="000000"/>
          <w:sz w:val="22"/>
          <w:szCs w:val="22"/>
        </w:rPr>
      </w:r>
    </w:p>
    <w:p>
      <w:pPr>
        <w:pStyle w:val="Normal"/>
        <w:tabs>
          <w:tab w:val="clear" w:pos="720"/>
          <w:tab w:val="left" w:pos="2977" w:leader="none"/>
        </w:tabs>
        <w:spacing w:lineRule="auto" w:line="276"/>
        <w:rPr>
          <w:b/>
          <w:b/>
          <w:sz w:val="22"/>
          <w:szCs w:val="22"/>
        </w:rPr>
      </w:pPr>
      <w:r>
        <w:rPr>
          <w:b/>
          <w:sz w:val="22"/>
          <w:szCs w:val="22"/>
        </w:rPr>
        <w:t>15</w:t>
      </w:r>
      <w:bookmarkStart w:id="0" w:name="_GoBack"/>
      <w:bookmarkEnd w:id="0"/>
      <w:r>
        <w:rPr>
          <w:b/>
          <w:sz w:val="22"/>
          <w:szCs w:val="22"/>
        </w:rPr>
        <w:t xml:space="preserve"> de diciembre de 2020.- </w:t>
      </w:r>
      <w:r>
        <w:rPr>
          <w:sz w:val="22"/>
          <w:szCs w:val="22"/>
        </w:rPr>
        <w:t xml:space="preserve">En el último Espacio de Relación Institucional de Jerez, celebrado el pasado 1 de diciembre, se aprobó que además de las intervenciones realizadas en el ámbito social, la Zona Sur necesita un plan estratégico que fortalezca su desarrollo económico y mejore la competitividad del territorio, con el último fin de mejorar la calidad de vida de las personas que en él habitan. </w:t>
      </w:r>
    </w:p>
    <w:p>
      <w:pPr>
        <w:pStyle w:val="Normal"/>
        <w:tabs>
          <w:tab w:val="clear" w:pos="720"/>
          <w:tab w:val="left" w:pos="2977" w:leader="none"/>
        </w:tabs>
        <w:spacing w:lineRule="auto" w:line="276"/>
        <w:rPr>
          <w:sz w:val="22"/>
          <w:szCs w:val="22"/>
        </w:rPr>
      </w:pPr>
      <w:r>
        <w:rPr>
          <w:sz w:val="22"/>
          <w:szCs w:val="22"/>
        </w:rPr>
      </w:r>
    </w:p>
    <w:p>
      <w:pPr>
        <w:pStyle w:val="Normal"/>
        <w:tabs>
          <w:tab w:val="clear" w:pos="720"/>
          <w:tab w:val="left" w:pos="2977" w:leader="none"/>
        </w:tabs>
        <w:spacing w:lineRule="auto" w:line="276"/>
        <w:rPr>
          <w:sz w:val="22"/>
          <w:szCs w:val="22"/>
        </w:rPr>
      </w:pPr>
      <w:r>
        <w:rPr>
          <w:sz w:val="22"/>
          <w:szCs w:val="22"/>
        </w:rPr>
        <w:t>El Plan de Desarrollo Local, desarrollado en el marco del Proyecto ICI tiene como objetivo fortalecer el desarrollo económico local y la competitividad del territorio, posicionando a la ciudad como un referente en inclusión y desarrollo de cara a 2025.</w:t>
      </w:r>
    </w:p>
    <w:p>
      <w:pPr>
        <w:pStyle w:val="Normal"/>
        <w:tabs>
          <w:tab w:val="clear" w:pos="720"/>
          <w:tab w:val="left" w:pos="2977" w:leader="none"/>
        </w:tabs>
        <w:spacing w:lineRule="auto" w:line="276"/>
        <w:rPr>
          <w:sz w:val="22"/>
          <w:szCs w:val="22"/>
        </w:rPr>
      </w:pPr>
      <w:r>
        <w:rPr>
          <w:sz w:val="22"/>
          <w:szCs w:val="22"/>
        </w:rPr>
        <w:t>A partir de la identificación de las debilidades, amenazas, fortalezas y oportunidades vinculadas al desarrollo económico de la Zona Sur, se plantean tres dimensiones fundamentales: una Zona Sur con una economía resiliente, diversificada, innovadora y competitiva; una Zona Sur con talento y empleo de calidad; y una Zona Sur con un entorno atractivo. Esta visión compartida por el Equipo Comunitario del proyecto ICI se articula en diez líneas estratégicas y veintiún objetivos que marcan el camino para alcanzar la meta propuesta.</w:t>
      </w:r>
    </w:p>
    <w:p>
      <w:pPr>
        <w:pStyle w:val="Normal"/>
        <w:tabs>
          <w:tab w:val="clear" w:pos="720"/>
          <w:tab w:val="left" w:pos="2977" w:leader="none"/>
        </w:tabs>
        <w:spacing w:lineRule="auto" w:line="276"/>
        <w:rPr>
          <w:sz w:val="22"/>
          <w:szCs w:val="22"/>
        </w:rPr>
      </w:pPr>
      <w:r>
        <w:rPr>
          <w:sz w:val="22"/>
          <w:szCs w:val="22"/>
        </w:rPr>
      </w:r>
    </w:p>
    <w:p>
      <w:pPr>
        <w:pStyle w:val="Normal"/>
        <w:tabs>
          <w:tab w:val="clear" w:pos="720"/>
          <w:tab w:val="left" w:pos="2977" w:leader="none"/>
        </w:tabs>
        <w:spacing w:lineRule="auto" w:line="276"/>
        <w:rPr>
          <w:sz w:val="22"/>
          <w:szCs w:val="22"/>
        </w:rPr>
      </w:pPr>
      <w:r>
        <w:rPr>
          <w:sz w:val="22"/>
          <w:szCs w:val="22"/>
        </w:rPr>
        <w:t>Actualmente, el proyecto se encuentra en la fase 3 de acción, en la cual la participación ciudadana es fundamental. ¿Por qué? Porque será la ciudadanía la que decida cómo lograremos transformar la Zona Sur a través de un proceso participativo digital.</w:t>
      </w:r>
    </w:p>
    <w:p>
      <w:pPr>
        <w:pStyle w:val="Normal"/>
        <w:tabs>
          <w:tab w:val="clear" w:pos="720"/>
          <w:tab w:val="left" w:pos="2977" w:leader="none"/>
        </w:tabs>
        <w:spacing w:lineRule="auto" w:line="276"/>
        <w:rPr>
          <w:sz w:val="22"/>
          <w:szCs w:val="22"/>
        </w:rPr>
      </w:pPr>
      <w:r>
        <w:rPr>
          <w:sz w:val="22"/>
          <w:szCs w:val="22"/>
        </w:rPr>
      </w:r>
    </w:p>
    <w:p>
      <w:pPr>
        <w:pStyle w:val="Normal"/>
        <w:tabs>
          <w:tab w:val="clear" w:pos="720"/>
          <w:tab w:val="left" w:pos="2977" w:leader="none"/>
        </w:tabs>
        <w:spacing w:lineRule="auto" w:line="276"/>
        <w:rPr>
          <w:sz w:val="22"/>
          <w:szCs w:val="22"/>
        </w:rPr>
      </w:pPr>
      <w:r>
        <w:rPr>
          <w:sz w:val="22"/>
          <w:szCs w:val="22"/>
        </w:rPr>
        <w:t xml:space="preserve">Este proceso participativo ha reunido todas las acciones viables que la ciudadanía de la Zona Sur ha considerado necesarias para fortalecer el desarrollo económico local de nuestro territorio. Un comité técnico municipal se ha encargado de evaluar que todas las propuestas presentadas sean viables, tanto técnica como económicamente, descartando aquellas que no cumplen con los criterios de viabilidad. </w:t>
      </w:r>
      <w:r>
        <w:rPr>
          <w:b/>
          <w:sz w:val="22"/>
          <w:szCs w:val="22"/>
        </w:rPr>
        <w:t>Como resultado se han recopilado un total de 75 propuestas que serán sometidas a votación.</w:t>
      </w:r>
      <w:r>
        <w:rPr>
          <w:sz w:val="22"/>
          <w:szCs w:val="22"/>
        </w:rPr>
        <w:t xml:space="preserve"> </w:t>
      </w:r>
    </w:p>
    <w:p>
      <w:pPr>
        <w:pStyle w:val="Normal"/>
        <w:tabs>
          <w:tab w:val="clear" w:pos="720"/>
          <w:tab w:val="left" w:pos="2977" w:leader="none"/>
        </w:tabs>
        <w:spacing w:lineRule="auto" w:line="276"/>
        <w:rPr>
          <w:sz w:val="22"/>
          <w:szCs w:val="22"/>
        </w:rPr>
      </w:pPr>
      <w:r>
        <w:rPr>
          <w:sz w:val="22"/>
          <w:szCs w:val="22"/>
        </w:rPr>
      </w:r>
    </w:p>
    <w:p>
      <w:pPr>
        <w:pStyle w:val="Normal"/>
        <w:tabs>
          <w:tab w:val="clear" w:pos="720"/>
          <w:tab w:val="left" w:pos="2977" w:leader="none"/>
        </w:tabs>
        <w:spacing w:lineRule="auto" w:line="276"/>
        <w:jc w:val="left"/>
        <w:rPr>
          <w:b/>
          <w:b/>
          <w:sz w:val="22"/>
          <w:szCs w:val="22"/>
        </w:rPr>
      </w:pPr>
      <w:r>
        <w:rPr>
          <w:b/>
          <w:sz w:val="22"/>
          <w:szCs w:val="22"/>
        </w:rPr>
        <w:t xml:space="preserve">Para votar sólo hay que entrar en el enlace https://participa.yosoyzonasur.com/ </w:t>
      </w:r>
    </w:p>
    <w:p>
      <w:pPr>
        <w:pStyle w:val="Normal"/>
        <w:tabs>
          <w:tab w:val="clear" w:pos="720"/>
          <w:tab w:val="left" w:pos="2977" w:leader="none"/>
        </w:tabs>
        <w:spacing w:lineRule="auto" w:line="276"/>
        <w:rPr>
          <w:sz w:val="22"/>
          <w:szCs w:val="22"/>
        </w:rPr>
      </w:pPr>
      <w:r>
        <w:rPr>
          <w:sz w:val="22"/>
          <w:szCs w:val="22"/>
        </w:rPr>
        <w:t>La plataforma da la opción de registrarse tanto a título individual como organización (asociación, empresa, etc.). Todas las personas registradas en la plataforma podrán dar su apoyo a las iniciativas que consideren que más impacto tendrán en la consecución de la visión y los objetivos estratégicos formulados en la planificación. ¿Significa esto que si una propuesta no recibe un número alto de apoyos no se realizará? No, las iniciativas con más apoyos serán consideradas prioritarias y, en consecuencia, su ejecución se iniciará antes.</w:t>
      </w:r>
    </w:p>
    <w:p>
      <w:pPr>
        <w:pStyle w:val="Normal"/>
        <w:tabs>
          <w:tab w:val="clear" w:pos="720"/>
          <w:tab w:val="left" w:pos="2977" w:leader="none"/>
        </w:tabs>
        <w:spacing w:lineRule="auto" w:line="276"/>
        <w:rPr>
          <w:sz w:val="22"/>
          <w:szCs w:val="22"/>
        </w:rPr>
      </w:pPr>
      <w:r>
        <w:rPr>
          <w:sz w:val="22"/>
          <w:szCs w:val="22"/>
        </w:rPr>
      </w:r>
    </w:p>
    <w:p>
      <w:pPr>
        <w:pStyle w:val="Normal"/>
        <w:tabs>
          <w:tab w:val="clear" w:pos="720"/>
          <w:tab w:val="left" w:pos="2977" w:leader="none"/>
        </w:tabs>
        <w:spacing w:lineRule="auto" w:line="276"/>
        <w:rPr>
          <w:b/>
          <w:b/>
          <w:sz w:val="22"/>
          <w:szCs w:val="22"/>
        </w:rPr>
      </w:pPr>
      <w:r>
        <w:rPr>
          <w:b/>
          <w:sz w:val="22"/>
          <w:szCs w:val="22"/>
        </w:rPr>
        <w:t>El plazo para votar estará abierto desde el lunes 14 de diciembre hasta el domingo 21 de diciembre.</w:t>
      </w:r>
    </w:p>
    <w:p>
      <w:pPr>
        <w:pStyle w:val="Normal"/>
        <w:tabs>
          <w:tab w:val="clear" w:pos="720"/>
          <w:tab w:val="left" w:pos="2977" w:leader="none"/>
        </w:tabs>
        <w:spacing w:lineRule="auto" w:line="276"/>
        <w:rPr>
          <w:sz w:val="22"/>
          <w:szCs w:val="22"/>
        </w:rPr>
      </w:pPr>
      <w:r>
        <w:rPr>
          <w:sz w:val="22"/>
          <w:szCs w:val="22"/>
        </w:rPr>
      </w:r>
    </w:p>
    <w:p>
      <w:pPr>
        <w:pStyle w:val="Normal"/>
        <w:tabs>
          <w:tab w:val="clear" w:pos="720"/>
          <w:tab w:val="left" w:pos="2977" w:leader="none"/>
        </w:tabs>
        <w:spacing w:lineRule="auto" w:line="276"/>
        <w:rPr>
          <w:sz w:val="22"/>
          <w:szCs w:val="22"/>
        </w:rPr>
      </w:pPr>
      <w:r>
        <w:rPr>
          <w:sz w:val="22"/>
          <w:szCs w:val="22"/>
        </w:rPr>
      </w:r>
    </w:p>
    <w:p>
      <w:pPr>
        <w:pStyle w:val="Normal"/>
        <w:widowControl/>
        <w:tabs>
          <w:tab w:val="clear" w:pos="720"/>
          <w:tab w:val="left" w:pos="2977" w:leader="none"/>
        </w:tabs>
        <w:spacing w:lineRule="auto" w:line="276" w:before="0" w:after="160"/>
        <w:rPr>
          <w:color w:val="00000A"/>
          <w:sz w:val="22"/>
          <w:szCs w:val="22"/>
        </w:rPr>
      </w:pPr>
      <w:r>
        <w:rPr>
          <w:b/>
          <w:color w:val="00000A"/>
          <w:sz w:val="22"/>
          <w:szCs w:val="22"/>
        </w:rPr>
        <w:t xml:space="preserve">Proyecto Desarrollo Local </w:t>
      </w:r>
    </w:p>
    <w:p>
      <w:pPr>
        <w:pStyle w:val="Normal"/>
        <w:tabs>
          <w:tab w:val="clear" w:pos="720"/>
          <w:tab w:val="left" w:pos="2977" w:leader="none"/>
        </w:tabs>
        <w:spacing w:lineRule="auto" w:line="276"/>
        <w:rPr>
          <w:color w:val="00000A"/>
          <w:sz w:val="22"/>
          <w:szCs w:val="22"/>
        </w:rPr>
      </w:pPr>
      <w:r>
        <w:rPr>
          <w:color w:val="00000A"/>
          <w:sz w:val="22"/>
          <w:szCs w:val="22"/>
        </w:rPr>
        <w:t>En 2019 Fundación “la Caixa” firma un convenio con el Ayuntamiento de Jerez por el que dispone de una propuesta de servicios para la inclusión de la dimensión de Competitividad y Desarrollo Económico Local en el Proyecto ICI, con la colaboración de la consultora IdenCity.</w:t>
      </w:r>
    </w:p>
    <w:p>
      <w:pPr>
        <w:pStyle w:val="Normal"/>
        <w:tabs>
          <w:tab w:val="clear" w:pos="720"/>
          <w:tab w:val="left" w:pos="2977" w:leader="none"/>
        </w:tabs>
        <w:spacing w:lineRule="auto" w:line="276"/>
        <w:rPr>
          <w:color w:val="00000A"/>
          <w:sz w:val="22"/>
          <w:szCs w:val="22"/>
        </w:rPr>
      </w:pPr>
      <w:r>
        <w:rPr>
          <w:color w:val="00000A"/>
          <w:sz w:val="22"/>
          <w:szCs w:val="22"/>
        </w:rPr>
        <w:t>IdenCity es una empresa de consultoría estratégica especializada en el desarrollo e implantación de planes de desarrollo económico sostenible en entornos urbanos a través de una metodología propia: PVAM (posicionamiento, visión, acción, gestión), que puede ser aplicada en diferentes entornos, adaptándose a la cultura e historia del territorio,  reconociendo la diversidad de componentes que lo caracterizan: situación socioeconómica, religiones, lenguas y creencias, entre otros.</w:t>
      </w:r>
    </w:p>
    <w:p>
      <w:pPr>
        <w:pStyle w:val="Normal"/>
        <w:widowControl/>
        <w:tabs>
          <w:tab w:val="clear" w:pos="720"/>
          <w:tab w:val="left" w:pos="2977" w:leader="none"/>
        </w:tabs>
        <w:spacing w:lineRule="auto" w:line="276" w:before="0" w:after="160"/>
        <w:rPr>
          <w:color w:val="00000A"/>
          <w:sz w:val="22"/>
          <w:szCs w:val="22"/>
        </w:rPr>
      </w:pPr>
      <w:r>
        <w:rPr>
          <w:b/>
          <w:color w:val="00000A"/>
          <w:sz w:val="22"/>
          <w:szCs w:val="22"/>
        </w:rPr>
        <w:t xml:space="preserve">Proyecto ICI  </w:t>
      </w:r>
      <w:bookmarkStart w:id="1" w:name="_Hlk58501154"/>
      <w:bookmarkEnd w:id="1"/>
    </w:p>
    <w:p>
      <w:pPr>
        <w:pStyle w:val="Normal"/>
        <w:widowControl/>
        <w:tabs>
          <w:tab w:val="clear" w:pos="720"/>
          <w:tab w:val="left" w:pos="2977" w:leader="none"/>
        </w:tabs>
        <w:spacing w:lineRule="auto" w:line="276" w:before="0" w:after="160"/>
        <w:rPr>
          <w:color w:val="00000A"/>
          <w:sz w:val="22"/>
          <w:szCs w:val="22"/>
        </w:rPr>
      </w:pPr>
      <w:r>
        <w:rPr>
          <w:color w:val="00000A"/>
          <w:sz w:val="22"/>
          <w:szCs w:val="22"/>
        </w:rPr>
        <w:t>El Proyecto de Intervención Comunitaria Intercultural (Proyecto ICI) es una iniciativa de la Fundación ”la Caixa” que se desarrolla en 36 territorios de España y que en Jerez desarrolla CEAin junto al Ayuntamiento, Junta de Andalucía, Cáritas Diocesana, Fundación Secretariado Gitano y otras entidades y colectivos ciudadanos de la zona, con el fin de promover la convivencia y la cohesión social.</w:t>
      </w:r>
    </w:p>
    <w:p>
      <w:pPr>
        <w:pStyle w:val="Normal"/>
        <w:widowControl/>
        <w:tabs>
          <w:tab w:val="clear" w:pos="720"/>
          <w:tab w:val="left" w:pos="2977" w:leader="none"/>
        </w:tabs>
        <w:spacing w:lineRule="auto" w:line="276" w:before="0" w:after="160"/>
        <w:rPr>
          <w:rFonts w:ascii="Calibri" w:hAnsi="Calibri" w:eastAsia="Calibri" w:cs="Calibri"/>
          <w:color w:val="00000A"/>
          <w:sz w:val="22"/>
          <w:szCs w:val="22"/>
        </w:rPr>
      </w:pPr>
      <w:r>
        <w:rPr>
          <w:color w:val="00000A"/>
          <w:sz w:val="22"/>
          <w:szCs w:val="22"/>
        </w:rPr>
        <w:t>En Jerez, el Proyecto ICI se articula con la Estrategia Regional de Intervención en Zonas Desfavorecidas (ERACIS), subvencionada por el Fondo Social Europeo.</w:t>
      </w:r>
    </w:p>
    <w:p>
      <w:pPr>
        <w:pStyle w:val="Normal"/>
        <w:widowControl/>
        <w:tabs>
          <w:tab w:val="clear" w:pos="720"/>
          <w:tab w:val="left" w:pos="2977" w:leader="none"/>
        </w:tabs>
        <w:spacing w:lineRule="auto" w:line="276" w:before="0" w:after="160"/>
        <w:rPr>
          <w:color w:val="00000A"/>
          <w:sz w:val="22"/>
          <w:szCs w:val="22"/>
        </w:rPr>
      </w:pPr>
      <w:r>
        <w:rPr>
          <w:color w:val="00000A"/>
          <w:sz w:val="22"/>
          <w:szCs w:val="22"/>
        </w:rPr>
      </w:r>
    </w:p>
    <w:p>
      <w:pPr>
        <w:pStyle w:val="Normal"/>
        <w:widowControl/>
        <w:spacing w:lineRule="auto" w:line="276"/>
        <w:jc w:val="left"/>
        <w:rPr>
          <w:rFonts w:ascii="Calibri" w:hAnsi="Calibri" w:eastAsia="Calibri" w:cs="Calibri"/>
          <w:color w:val="00000A"/>
          <w:sz w:val="22"/>
          <w:szCs w:val="22"/>
        </w:rPr>
      </w:pPr>
      <w:r>
        <w:rPr>
          <w:b/>
          <w:color w:val="000000"/>
          <w:sz w:val="22"/>
          <w:szCs w:val="22"/>
        </w:rPr>
        <w:t>Para más información:</w:t>
      </w:r>
    </w:p>
    <w:p>
      <w:pPr>
        <w:pStyle w:val="Normal"/>
        <w:widowControl/>
        <w:spacing w:lineRule="auto" w:line="276"/>
        <w:jc w:val="left"/>
        <w:rPr>
          <w:color w:val="00000A"/>
          <w:sz w:val="22"/>
          <w:szCs w:val="22"/>
        </w:rPr>
      </w:pPr>
      <w:r>
        <w:rPr>
          <w:color w:val="00000A"/>
          <w:sz w:val="22"/>
          <w:szCs w:val="22"/>
        </w:rPr>
      </w:r>
    </w:p>
    <w:p>
      <w:pPr>
        <w:pStyle w:val="Normal"/>
        <w:widowControl/>
        <w:jc w:val="left"/>
        <w:rPr>
          <w:rFonts w:ascii="Times New Roman" w:hAnsi="Times New Roman" w:eastAsia="Times New Roman" w:cs="Times New Roman"/>
          <w:color w:val="00000A"/>
          <w:sz w:val="22"/>
          <w:szCs w:val="22"/>
        </w:rPr>
      </w:pPr>
      <w:r>
        <w:rPr>
          <w:rFonts w:eastAsia="Times New Roman" w:cs="Times New Roman" w:ascii="Times New Roman" w:hAnsi="Times New Roman"/>
          <w:color w:val="00000A"/>
          <w:sz w:val="22"/>
          <w:szCs w:val="22"/>
        </w:rPr>
      </w:r>
    </w:p>
    <w:p>
      <w:pPr>
        <w:pStyle w:val="Normal"/>
        <w:widowControl/>
        <w:jc w:val="left"/>
        <w:rPr/>
      </w:pPr>
      <w:r>
        <w:rPr>
          <w:color w:val="00000A"/>
          <w:sz w:val="22"/>
          <w:szCs w:val="22"/>
        </w:rPr>
        <w:t xml:space="preserve">Departamento de Comunicación Ayuntamiento de Jerez: </w:t>
      </w:r>
      <w:hyperlink r:id="rId2">
        <w:r>
          <w:rPr>
            <w:rStyle w:val="ListLabel11"/>
            <w:color w:val="0000FF"/>
            <w:sz w:val="22"/>
            <w:szCs w:val="22"/>
            <w:u w:val="single"/>
          </w:rPr>
          <w:t>comunicacion@aytojerez.es</w:t>
        </w:r>
      </w:hyperlink>
    </w:p>
    <w:p>
      <w:pPr>
        <w:pStyle w:val="Normal"/>
        <w:widowControl/>
        <w:jc w:val="left"/>
        <w:rPr>
          <w:sz w:val="22"/>
          <w:szCs w:val="22"/>
        </w:rPr>
      </w:pPr>
      <w:r>
        <w:rPr>
          <w:color w:val="00000A"/>
          <w:sz w:val="22"/>
          <w:szCs w:val="22"/>
        </w:rPr>
        <w:t>_________________________________</w:t>
      </w:r>
    </w:p>
    <w:p>
      <w:pPr>
        <w:pStyle w:val="Normal"/>
        <w:widowControl/>
        <w:jc w:val="left"/>
        <w:rPr>
          <w:color w:val="00000A"/>
          <w:sz w:val="22"/>
          <w:szCs w:val="22"/>
        </w:rPr>
      </w:pPr>
      <w:r>
        <w:rPr>
          <w:color w:val="00000A"/>
          <w:sz w:val="22"/>
          <w:szCs w:val="22"/>
        </w:rPr>
      </w:r>
    </w:p>
    <w:p>
      <w:pPr>
        <w:pStyle w:val="Normal"/>
        <w:widowControl/>
        <w:jc w:val="left"/>
        <w:rPr>
          <w:sz w:val="22"/>
          <w:szCs w:val="22"/>
        </w:rPr>
      </w:pPr>
      <w:r>
        <w:rPr>
          <w:color w:val="00000A"/>
          <w:sz w:val="22"/>
          <w:szCs w:val="22"/>
        </w:rPr>
        <w:t>Departamento de Prensa de la Fundación ”la Caixa”:</w:t>
      </w:r>
    </w:p>
    <w:p>
      <w:pPr>
        <w:pStyle w:val="Normal"/>
        <w:widowControl/>
        <w:jc w:val="left"/>
        <w:rPr>
          <w:color w:val="00000A"/>
          <w:sz w:val="22"/>
          <w:szCs w:val="22"/>
        </w:rPr>
      </w:pPr>
      <w:r>
        <w:rPr>
          <w:color w:val="00000A"/>
          <w:sz w:val="22"/>
          <w:szCs w:val="22"/>
        </w:rPr>
      </w:r>
    </w:p>
    <w:p>
      <w:pPr>
        <w:pStyle w:val="Normal"/>
        <w:widowControl/>
        <w:jc w:val="left"/>
        <w:rPr/>
      </w:pPr>
      <w:r>
        <w:rPr>
          <w:color w:val="00000A"/>
          <w:sz w:val="22"/>
          <w:szCs w:val="22"/>
        </w:rPr>
        <w:t xml:space="preserve">Paula Baldrich: 690 386 536 / </w:t>
      </w:r>
      <w:hyperlink r:id="rId3">
        <w:r>
          <w:rPr>
            <w:rStyle w:val="ListLabel11"/>
            <w:color w:val="0000FF"/>
            <w:sz w:val="22"/>
            <w:szCs w:val="22"/>
            <w:u w:val="single"/>
          </w:rPr>
          <w:t>pbaldrich@fundacionlacaixa.org</w:t>
        </w:r>
      </w:hyperlink>
    </w:p>
    <w:p>
      <w:pPr>
        <w:pStyle w:val="Normal"/>
        <w:widowControl/>
        <w:jc w:val="left"/>
        <w:rPr>
          <w:rFonts w:ascii="Times" w:hAnsi="Times" w:eastAsia="Times" w:cs="Times"/>
          <w:color w:val="00000A"/>
          <w:sz w:val="22"/>
          <w:szCs w:val="22"/>
        </w:rPr>
      </w:pPr>
      <w:r>
        <w:rPr>
          <w:rFonts w:eastAsia="Times" w:cs="Times" w:ascii="Times" w:hAnsi="Times"/>
          <w:color w:val="00000A"/>
          <w:sz w:val="22"/>
          <w:szCs w:val="22"/>
        </w:rPr>
      </w:r>
    </w:p>
    <w:p>
      <w:pPr>
        <w:pStyle w:val="Normal"/>
        <w:widowControl/>
        <w:jc w:val="left"/>
        <w:rPr/>
      </w:pPr>
      <w:r>
        <w:rPr>
          <w:color w:val="00000A"/>
          <w:sz w:val="22"/>
          <w:szCs w:val="22"/>
        </w:rPr>
        <w:t xml:space="preserve">Sala de Prensa Multimedia: </w:t>
      </w:r>
      <w:hyperlink r:id="rId4">
        <w:r>
          <w:rPr>
            <w:rStyle w:val="ListLabel11"/>
            <w:color w:val="0000FF"/>
            <w:sz w:val="22"/>
            <w:szCs w:val="22"/>
            <w:u w:val="single"/>
          </w:rPr>
          <w:t>https://prensa.lacaixa.org/</w:t>
        </w:r>
      </w:hyperlink>
      <w:r>
        <w:rPr>
          <w:color w:val="00000A"/>
          <w:sz w:val="22"/>
          <w:szCs w:val="22"/>
        </w:rPr>
        <w:t xml:space="preserve"> </w:t>
      </w:r>
    </w:p>
    <w:p>
      <w:pPr>
        <w:pStyle w:val="Normal"/>
        <w:widowControl/>
        <w:jc w:val="left"/>
        <w:rPr>
          <w:sz w:val="22"/>
          <w:szCs w:val="22"/>
        </w:rPr>
      </w:pPr>
      <w:r>
        <w:rPr>
          <w:color w:val="00000A"/>
          <w:sz w:val="22"/>
          <w:szCs w:val="22"/>
        </w:rPr>
        <w:t>_________________________________</w:t>
      </w:r>
    </w:p>
    <w:p>
      <w:pPr>
        <w:pStyle w:val="Normal"/>
        <w:widowControl/>
        <w:jc w:val="left"/>
        <w:rPr>
          <w:color w:val="00000A"/>
          <w:sz w:val="22"/>
          <w:szCs w:val="22"/>
        </w:rPr>
      </w:pPr>
      <w:r>
        <w:rPr>
          <w:color w:val="00000A"/>
          <w:sz w:val="22"/>
          <w:szCs w:val="22"/>
        </w:rPr>
      </w:r>
    </w:p>
    <w:p>
      <w:pPr>
        <w:pStyle w:val="Normal"/>
        <w:widowControl/>
        <w:jc w:val="left"/>
        <w:rPr/>
      </w:pPr>
      <w:r>
        <w:rPr>
          <w:color w:val="00000A"/>
          <w:sz w:val="22"/>
          <w:szCs w:val="22"/>
        </w:rPr>
        <w:t xml:space="preserve">Departamento de Comunicación CEAin: Yolanda Rosado: 672 070 244 /  </w:t>
      </w:r>
      <w:hyperlink r:id="rId5">
        <w:r>
          <w:rPr>
            <w:rStyle w:val="ListLabel11"/>
            <w:color w:val="0000FF"/>
            <w:sz w:val="22"/>
            <w:szCs w:val="22"/>
            <w:u w:val="single"/>
          </w:rPr>
          <w:t>yrosado@ceain.org</w:t>
        </w:r>
      </w:hyperlink>
    </w:p>
    <w:p>
      <w:pPr>
        <w:pStyle w:val="Normal"/>
        <w:spacing w:lineRule="auto" w:line="276"/>
        <w:jc w:val="left"/>
        <w:rPr>
          <w:sz w:val="22"/>
          <w:szCs w:val="22"/>
        </w:rPr>
      </w:pPr>
      <w:r>
        <w:rPr>
          <w:sz w:val="22"/>
          <w:szCs w:val="22"/>
        </w:rPr>
      </w:r>
    </w:p>
    <w:p>
      <w:pPr>
        <w:pStyle w:val="Normal"/>
        <w:spacing w:lineRule="auto" w:line="276" w:before="0" w:after="200"/>
        <w:jc w:val="left"/>
        <w:rPr/>
      </w:pPr>
      <w:r>
        <w:rPr/>
      </w:r>
    </w:p>
    <w:sectPr>
      <w:headerReference w:type="default" r:id="rId6"/>
      <w:footerReference w:type="default" r:id="rId7"/>
      <w:type w:val="nextPage"/>
      <w:pgSz w:w="11906" w:h="16838"/>
      <w:pgMar w:left="1701" w:right="1701" w:header="708" w:top="2410" w:footer="737" w:bottom="2552"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 w:name="Times">
    <w:altName w:val="Times New Roman"/>
    <w:charset w:val="00"/>
    <w:family w:val="roman"/>
    <w:pitch w:val="variable"/>
  </w:font>
  <w:font w:name="Cambria">
    <w:charset w:val="00"/>
    <w:family w:val="roman"/>
    <w:pitch w:val="variable"/>
  </w:font>
  <w:font w:name="Noto Sans Symbols">
    <w:charset w:val="01"/>
    <w:family w:val="auto"/>
    <w:pitch w:val="default"/>
  </w:font>
  <w:font w:name="OpenSymbol">
    <w:altName w:val="Arial Unicode M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right" w:pos="8504" w:leader="none"/>
      </w:tabs>
      <w:rPr/>
    </w:pPr>
    <w:r>
      <w:rPr>
        <w:rFonts w:eastAsia="Cambria" w:cs="Cambria" w:ascii="Cambria" w:hAnsi="Cambria"/>
      </w:rPr>
      <w:tab/>
    </w:r>
  </w:p>
  <w:p>
    <w:pPr>
      <w:pStyle w:val="Normal"/>
      <w:pBdr/>
      <w:rPr>
        <w:color w:val="000000"/>
      </w:rPr>
    </w:pPr>
    <w:r>
      <w:rPr>
        <w:color w:val="000000"/>
      </w:rPr>
      <mc:AlternateContent>
        <mc:Choice Requires="wps">
          <w:drawing>
            <wp:anchor behindDoc="1" distT="0" distB="0" distL="0" distR="0" simplePos="0" locked="0" layoutInCell="1" allowOverlap="1" relativeHeight="7" wp14:anchorId="0C18F9D9">
              <wp:simplePos x="0" y="0"/>
              <wp:positionH relativeFrom="column">
                <wp:posOffset>0</wp:posOffset>
              </wp:positionH>
              <wp:positionV relativeFrom="paragraph">
                <wp:posOffset>635</wp:posOffset>
              </wp:positionV>
              <wp:extent cx="5363210" cy="907415"/>
              <wp:effectExtent l="0" t="0" r="0" b="0"/>
              <wp:wrapNone/>
              <wp:docPr id="5" name="Rectángulo 1"/>
              <a:graphic xmlns:a="http://schemas.openxmlformats.org/drawingml/2006/main">
                <a:graphicData uri="http://schemas.microsoft.com/office/word/2010/wordprocessingShape">
                  <wps:wsp>
                    <wps:cNvSpPr/>
                    <wps:spPr>
                      <a:xfrm>
                        <a:off x="0" y="0"/>
                        <a:ext cx="5362560" cy="906840"/>
                      </a:xfrm>
                      <a:prstGeom prst="rect">
                        <a:avLst/>
                      </a:prstGeom>
                      <a:noFill/>
                      <a:ln>
                        <a:noFill/>
                      </a:ln>
                    </wps:spPr>
                    <wps:style>
                      <a:lnRef idx="0"/>
                      <a:fillRef idx="0"/>
                      <a:effectRef idx="0"/>
                      <a:fontRef idx="minor"/>
                    </wps:style>
                    <wps:txbx>
                      <w:txbxContent>
                        <w:p>
                          <w:pPr>
                            <w:pStyle w:val="Contenidodelmarco"/>
                            <w:jc w:val="left"/>
                            <w:rPr/>
                          </w:pPr>
                          <w:r>
                            <w:rPr/>
                          </w:r>
                        </w:p>
                      </w:txbxContent>
                    </wps:txbx>
                    <wps:bodyPr tIns="91440" bIns="91440" anchor="ctr">
                      <a:noAutofit/>
                    </wps:bodyPr>
                  </wps:wsp>
                </a:graphicData>
              </a:graphic>
            </wp:anchor>
          </w:drawing>
        </mc:Choice>
        <mc:Fallback>
          <w:pict>
            <v:rect id="shape_0" ID="Rectángulo 1" stroked="f" style="position:absolute;margin-left:0pt;margin-top:0pt;width:422.2pt;height:71.35pt" wp14:anchorId="0C18F9D9">
              <w10:wrap type="none"/>
              <v:fill o:detectmouseclick="t" on="false"/>
              <v:stroke color="#3465a4" joinstyle="round" endcap="flat"/>
              <v:textbox>
                <w:txbxContent>
                  <w:p>
                    <w:pPr>
                      <w:pStyle w:val="Contenidodelmarco"/>
                      <w:jc w:val="left"/>
                      <w:rPr/>
                    </w:pPr>
                    <w:r>
                      <w:rPr/>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rPr>
        <w:color w:val="000000"/>
        <w:sz w:val="20"/>
        <w:szCs w:val="20"/>
      </w:rPr>
    </w:pPr>
    <w:r>
      <w:rPr/>
      <w:drawing>
        <wp:inline distT="0" distB="0" distL="0" distR="0">
          <wp:extent cx="1935480" cy="935355"/>
          <wp:effectExtent l="0" t="0" r="0" b="0"/>
          <wp:docPr id="3" name="Imagen 3" descr="\\sanfiasp04\silkplace\FLCProfiles\U0D80125\Desktop\Personal\Nous Logos\Fundación La Caix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sanfiasp04\silkplace\FLCProfiles\U0D80125\Desktop\Personal\Nous Logos\Fundación La Caixa 1.jpg"/>
                  <pic:cNvPicPr>
                    <a:picLocks noChangeAspect="1" noChangeArrowheads="1"/>
                  </pic:cNvPicPr>
                </pic:nvPicPr>
                <pic:blipFill>
                  <a:blip r:embed="rId3"/>
                  <a:stretch>
                    <a:fillRect/>
                  </a:stretch>
                </pic:blipFill>
                <pic:spPr bwMode="auto">
                  <a:xfrm>
                    <a:off x="0" y="0"/>
                    <a:ext cx="1935480" cy="935355"/>
                  </a:xfrm>
                  <a:prstGeom prst="rect">
                    <a:avLst/>
                  </a:prstGeom>
                </pic:spPr>
              </pic:pic>
            </a:graphicData>
          </a:graphic>
        </wp:inline>
      </w:drawing>
      <w:drawing>
        <wp:anchor behindDoc="1" distT="0" distB="0" distL="0" distR="0" simplePos="0" locked="0" layoutInCell="1" allowOverlap="1" relativeHeight="10">
          <wp:simplePos x="0" y="0"/>
          <wp:positionH relativeFrom="column">
            <wp:posOffset>1949450</wp:posOffset>
          </wp:positionH>
          <wp:positionV relativeFrom="paragraph">
            <wp:posOffset>198120</wp:posOffset>
          </wp:positionV>
          <wp:extent cx="1570990" cy="628650"/>
          <wp:effectExtent l="0" t="0" r="0" b="0"/>
          <wp:wrapNone/>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1570990" cy="628650"/>
                  </a:xfrm>
                  <a:prstGeom prst="rect">
                    <a:avLst/>
                  </a:prstGeom>
                </pic:spPr>
              </pic:pic>
            </a:graphicData>
          </a:graphic>
        </wp:anchor>
      </w:drawing>
      <w:drawing>
        <wp:anchor behindDoc="1" distT="0" distB="0" distL="0" distR="0" simplePos="0" locked="0" layoutInCell="1" allowOverlap="1" relativeHeight="13">
          <wp:simplePos x="0" y="0"/>
          <wp:positionH relativeFrom="column">
            <wp:posOffset>3869055</wp:posOffset>
          </wp:positionH>
          <wp:positionV relativeFrom="paragraph">
            <wp:posOffset>350520</wp:posOffset>
          </wp:positionV>
          <wp:extent cx="1234440" cy="581025"/>
          <wp:effectExtent l="0" t="0" r="0" b="0"/>
          <wp:wrapNone/>
          <wp:docPr id="2"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
                  <pic:cNvPicPr>
                    <a:picLocks noChangeAspect="1" noChangeArrowheads="1"/>
                  </pic:cNvPicPr>
                </pic:nvPicPr>
                <pic:blipFill>
                  <a:blip r:embed="rId2"/>
                  <a:stretch>
                    <a:fillRect/>
                  </a:stretch>
                </pic:blipFill>
                <pic:spPr bwMode="auto">
                  <a:xfrm>
                    <a:off x="0" y="0"/>
                    <a:ext cx="1234440" cy="581025"/>
                  </a:xfrm>
                  <a:prstGeom prst="rect">
                    <a:avLst/>
                  </a:prstGeom>
                </pic:spPr>
              </pic:pic>
            </a:graphicData>
          </a:graphic>
        </wp:anchor>
      </w:drawing>
    </w:r>
  </w:p>
  <w:p>
    <w:pPr>
      <w:pStyle w:val="Normal"/>
      <w:pBdr/>
      <w:rPr>
        <w:color w:val="000000"/>
        <w:sz w:val="20"/>
        <w:szCs w:val="20"/>
      </w:rPr>
    </w:pPr>
    <w:r>
      <w:rPr>
        <w:color w:val="000000"/>
        <w:sz w:val="20"/>
        <w:szCs w:val="20"/>
      </w:rPr>
      <w:drawing>
        <wp:anchor behindDoc="1" distT="0" distB="0" distL="114935" distR="114935" simplePos="0" locked="0" layoutInCell="1" allowOverlap="1" relativeHeight="4">
          <wp:simplePos x="0" y="0"/>
          <wp:positionH relativeFrom="column">
            <wp:posOffset>-285750</wp:posOffset>
          </wp:positionH>
          <wp:positionV relativeFrom="paragraph">
            <wp:posOffset>-1205865</wp:posOffset>
          </wp:positionV>
          <wp:extent cx="6008370" cy="998855"/>
          <wp:effectExtent l="0" t="0" r="0" b="0"/>
          <wp:wrapSquare wrapText="bothSides"/>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4"/>
                  <a:srcRect l="-23" t="-143" r="-23" b="-143"/>
                  <a:stretch>
                    <a:fillRect/>
                  </a:stretch>
                </pic:blipFill>
                <pic:spPr bwMode="auto">
                  <a:xfrm>
                    <a:off x="0" y="0"/>
                    <a:ext cx="6008370" cy="99885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vertAlign w:val="baseline"/>
        <w:position w:val="0"/>
        <w:sz w:val="22"/>
        <w:sz w:val="22"/>
        <w:b/>
        <w:szCs w:val="23"/>
        <w:rFonts w:cs="Noto Sans Symbols"/>
        <w:color w:val="000000"/>
      </w:rPr>
    </w:lvl>
    <w:lvl w:ilvl="1">
      <w:start w:val="1"/>
      <w:numFmt w:val="bullet"/>
      <w:lvlText w:val=""/>
      <w:lvlJc w:val="left"/>
      <w:pPr>
        <w:ind w:left="0" w:hanging="0"/>
      </w:pPr>
      <w:rPr>
        <w:rFonts w:ascii="OpenSymbol" w:hAnsi="OpenSymbol" w:cs="OpenSymbol" w:hint="default"/>
      </w:rPr>
    </w:lvl>
    <w:lvl w:ilvl="2">
      <w:start w:val="1"/>
      <w:numFmt w:val="bullet"/>
      <w:lvlText w:val=""/>
      <w:lvlJc w:val="left"/>
      <w:pPr>
        <w:ind w:left="0" w:hanging="0"/>
      </w:pPr>
      <w:rPr>
        <w:rFonts w:ascii="OpenSymbol" w:hAnsi="OpenSymbol" w:cs="OpenSymbol" w:hint="default"/>
      </w:rPr>
    </w:lvl>
    <w:lvl w:ilvl="3">
      <w:start w:val="1"/>
      <w:numFmt w:val="bullet"/>
      <w:lvlText w:val=""/>
      <w:lvlJc w:val="left"/>
      <w:pPr>
        <w:ind w:left="0" w:hanging="0"/>
      </w:pPr>
      <w:rPr>
        <w:rFonts w:ascii="OpenSymbol" w:hAnsi="OpenSymbol" w:cs="OpenSymbol" w:hint="default"/>
      </w:rPr>
    </w:lvl>
    <w:lvl w:ilvl="4">
      <w:start w:val="1"/>
      <w:numFmt w:val="bullet"/>
      <w:lvlText w:val=""/>
      <w:lvlJc w:val="left"/>
      <w:pPr>
        <w:ind w:left="0" w:hanging="0"/>
      </w:pPr>
      <w:rPr>
        <w:rFonts w:ascii="OpenSymbol" w:hAnsi="OpenSymbol" w:cs="OpenSymbol" w:hint="default"/>
      </w:rPr>
    </w:lvl>
    <w:lvl w:ilvl="5">
      <w:start w:val="1"/>
      <w:numFmt w:val="bullet"/>
      <w:lvlText w:val=""/>
      <w:lvlJc w:val="left"/>
      <w:pPr>
        <w:ind w:left="0" w:hanging="0"/>
      </w:pPr>
      <w:rPr>
        <w:rFonts w:ascii="OpenSymbol" w:hAnsi="OpenSymbol" w:cs="OpenSymbol" w:hint="default"/>
      </w:rPr>
    </w:lvl>
    <w:lvl w:ilvl="6">
      <w:start w:val="1"/>
      <w:numFmt w:val="bullet"/>
      <w:lvlText w:val=""/>
      <w:lvlJc w:val="left"/>
      <w:pPr>
        <w:ind w:left="0" w:hanging="0"/>
      </w:pPr>
      <w:rPr>
        <w:rFonts w:ascii="OpenSymbol" w:hAnsi="OpenSymbol" w:cs="OpenSymbol" w:hint="default"/>
      </w:rPr>
    </w:lvl>
    <w:lvl w:ilvl="7">
      <w:start w:val="1"/>
      <w:numFmt w:val="bullet"/>
      <w:lvlText w:val=""/>
      <w:lvlJc w:val="left"/>
      <w:pPr>
        <w:ind w:left="0" w:hanging="0"/>
      </w:pPr>
      <w:rPr>
        <w:rFonts w:ascii="OpenSymbol" w:hAnsi="OpenSymbol" w:cs="OpenSymbol" w:hint="default"/>
      </w:rPr>
    </w:lvl>
    <w:lvl w:ilvl="8">
      <w:start w:val="1"/>
      <w:numFmt w:val="bullet"/>
      <w:lvlText w:val=""/>
      <w:lvlJc w:val="left"/>
      <w:pPr>
        <w:ind w:left="0" w:hanging="0"/>
      </w:pPr>
      <w:rPr>
        <w:rFonts w:ascii="OpenSymbol" w:hAnsi="OpenSymbol" w:cs="OpenSymbol"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Arial" w:hAnsi="Arial" w:eastAsia="Arial" w:cs="Arial"/>
      <w:color w:val="auto"/>
      <w:kern w:val="0"/>
      <w:sz w:val="24"/>
      <w:szCs w:val="24"/>
      <w:lang w:val="es-ES" w:eastAsia="es-ES"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6e114b"/>
    <w:rPr/>
  </w:style>
  <w:style w:type="character" w:styleId="PiedepginaCar" w:customStyle="1">
    <w:name w:val="Pie de página Car"/>
    <w:basedOn w:val="DefaultParagraphFont"/>
    <w:link w:val="Piedepgina"/>
    <w:uiPriority w:val="99"/>
    <w:qFormat/>
    <w:rsid w:val="006e114b"/>
    <w:rPr/>
  </w:style>
  <w:style w:type="character" w:styleId="TextodegloboCar" w:customStyle="1">
    <w:name w:val="Texto de globo Car"/>
    <w:basedOn w:val="DefaultParagraphFont"/>
    <w:link w:val="Textodeglobo"/>
    <w:uiPriority w:val="99"/>
    <w:semiHidden/>
    <w:qFormat/>
    <w:rsid w:val="006e114b"/>
    <w:rPr>
      <w:rFonts w:ascii="Tahoma" w:hAnsi="Tahoma" w:cs="Tahoma"/>
      <w:sz w:val="16"/>
      <w:szCs w:val="16"/>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eastAsia="Noto Sans Symbols" w:cs="Noto Sans Symbols"/>
      <w:b/>
      <w:color w:val="000000"/>
      <w:position w:val="0"/>
      <w:sz w:val="22"/>
      <w:sz w:val="22"/>
      <w:szCs w:val="23"/>
      <w:vertAlign w:val="baseline"/>
    </w:rPr>
  </w:style>
  <w:style w:type="character" w:styleId="ListLabel11">
    <w:name w:val="ListLabel 11"/>
    <w:qFormat/>
    <w:rPr>
      <w:color w:val="0000FF"/>
      <w:sz w:val="22"/>
      <w:szCs w:val="22"/>
      <w:u w:val="single"/>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ular">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860014"/>
    <w:pPr>
      <w:spacing w:before="0" w:after="0"/>
      <w:ind w:left="720" w:hanging="0"/>
      <w:contextualSpacing/>
    </w:pPr>
    <w:rPr/>
  </w:style>
  <w:style w:type="paragraph" w:styleId="Cabecera">
    <w:name w:val="Header"/>
    <w:basedOn w:val="Normal"/>
    <w:link w:val="EncabezadoCar"/>
    <w:uiPriority w:val="99"/>
    <w:unhideWhenUsed/>
    <w:rsid w:val="006e114b"/>
    <w:pPr>
      <w:tabs>
        <w:tab w:val="clear" w:pos="720"/>
        <w:tab w:val="center" w:pos="4252" w:leader="none"/>
        <w:tab w:val="right" w:pos="8504" w:leader="none"/>
      </w:tabs>
    </w:pPr>
    <w:rPr/>
  </w:style>
  <w:style w:type="paragraph" w:styleId="Piedepgina">
    <w:name w:val="Footer"/>
    <w:basedOn w:val="Normal"/>
    <w:link w:val="PiedepginaCar"/>
    <w:uiPriority w:val="99"/>
    <w:unhideWhenUsed/>
    <w:rsid w:val="006e114b"/>
    <w:pPr>
      <w:tabs>
        <w:tab w:val="clear" w:pos="720"/>
        <w:tab w:val="center" w:pos="4252" w:leader="none"/>
        <w:tab w:val="right" w:pos="8504" w:leader="none"/>
      </w:tabs>
    </w:pPr>
    <w:rPr/>
  </w:style>
  <w:style w:type="paragraph" w:styleId="BalloonText">
    <w:name w:val="Balloon Text"/>
    <w:basedOn w:val="Normal"/>
    <w:link w:val="TextodegloboCar"/>
    <w:uiPriority w:val="99"/>
    <w:semiHidden/>
    <w:unhideWhenUsed/>
    <w:qFormat/>
    <w:rsid w:val="006e114b"/>
    <w:pPr/>
    <w:rPr>
      <w:rFonts w:ascii="Tahoma" w:hAnsi="Tahoma" w:cs="Tahoma"/>
      <w:sz w:val="16"/>
      <w:szCs w:val="16"/>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icacion@aytojerez.es" TargetMode="External"/><Relationship Id="rId3" Type="http://schemas.openxmlformats.org/officeDocument/2006/relationships/hyperlink" Target="mailto:pbaldrich@fundacionlacaixa.org" TargetMode="External"/><Relationship Id="rId4" Type="http://schemas.openxmlformats.org/officeDocument/2006/relationships/hyperlink" Target="https://prensa.lacaixa.org/" TargetMode="External"/><Relationship Id="rId5" Type="http://schemas.openxmlformats.org/officeDocument/2006/relationships/hyperlink" Target="mailto:yrosado@ceain.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 Id="rId4"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LibreOffice/6.2.7.1$Windows_X86_64 LibreOffice_project/23edc44b61b830b7d749943e020e96f5a7df63bf</Application>
  <Pages>3</Pages>
  <Words>822</Words>
  <Characters>4695</Characters>
  <CharactersWithSpaces>5500</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2020-12-14T11:15:00Z</dcterms:created>
  <dc:creator>Jose Antonio Gonzalez Leal</dc:creator>
  <dc:description/>
  <dc:language>es-ES</dc:language>
  <cp:lastModifiedBy>Yolanda Rosado</cp:lastModifiedBy>
  <dcterms:modified xsi:type="dcterms:W3CDTF">2020-12-14T18:49:00Z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