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rPr>
      </w:pPr>
      <w:r>
        <w:rPr>
          <w:rFonts w:cs="Arial" w:ascii="Arial" w:hAnsi="Arial"/>
          <w:b/>
          <w:bCs/>
          <w:color w:val="000000"/>
          <w:sz w:val="36"/>
          <w:szCs w:val="36"/>
        </w:rPr>
        <w:t xml:space="preserve">El </w:t>
      </w:r>
      <w:r>
        <w:rPr>
          <w:rFonts w:cs="Arial" w:ascii="Arial" w:hAnsi="Arial"/>
          <w:b/>
          <w:bCs/>
          <w:color w:val="000000"/>
          <w:sz w:val="36"/>
          <w:szCs w:val="36"/>
        </w:rPr>
        <w:t>Ayuntamiento de Jerez</w:t>
      </w:r>
      <w:r>
        <w:rPr>
          <w:rFonts w:cs="Arial" w:ascii="Arial" w:hAnsi="Arial"/>
          <w:b/>
          <w:bCs/>
          <w:color w:val="000000"/>
          <w:sz w:val="36"/>
          <w:szCs w:val="36"/>
        </w:rPr>
        <w:t xml:space="preserve"> rubrica con ‘Ganadería Alpende’ el uso y explotación del Centro Ecuestre ubicado en el Complejo Chapín </w:t>
      </w:r>
    </w:p>
    <w:p>
      <w:pPr>
        <w:pStyle w:val="Normal"/>
        <w:rPr>
          <w:rFonts w:ascii="Arial" w:hAnsi="Arial" w:cs="Arial"/>
          <w:b/>
          <w:b/>
          <w:bCs/>
          <w:color w:val="000000"/>
          <w:sz w:val="36"/>
          <w:szCs w:val="36"/>
        </w:rPr>
      </w:pPr>
      <w:r>
        <w:rPr>
          <w:rFonts w:cs="Arial" w:ascii="Arial" w:hAnsi="Arial"/>
          <w:b/>
          <w:bCs/>
          <w:color w:val="000000"/>
          <w:sz w:val="36"/>
          <w:szCs w:val="36"/>
        </w:rPr>
      </w:r>
    </w:p>
    <w:p>
      <w:pPr>
        <w:pStyle w:val="Normal"/>
        <w:rPr>
          <w:rFonts w:ascii="Arial" w:hAnsi="Arial"/>
        </w:rPr>
      </w:pPr>
      <w:r>
        <w:rPr>
          <w:rFonts w:cs="Arial" w:ascii="Arial" w:hAnsi="Arial"/>
          <w:color w:val="000000"/>
          <w:sz w:val="32"/>
          <w:szCs w:val="32"/>
        </w:rPr>
        <w:t>La primera teniente de alcaldesa, Laura Álvarez, ha firmado con Delfín Gómez, director de ‘Ganadería Alpende’, la concesión de uso de tales instalaciones públicas durante los próximos 20 años y en las que la empresa invertirá  475.000 euros en su mejora y adaptación</w:t>
      </w:r>
    </w:p>
    <w:p>
      <w:pPr>
        <w:pStyle w:val="Normal"/>
        <w:rPr>
          <w:rFonts w:ascii="Arial" w:hAnsi="Arial"/>
          <w:color w:val="000000"/>
          <w:sz w:val="32"/>
          <w:szCs w:val="32"/>
        </w:rPr>
      </w:pPr>
      <w:r>
        <w:rPr>
          <w:rFonts w:ascii="Arial" w:hAnsi="Arial"/>
          <w:color w:val="000000"/>
          <w:sz w:val="32"/>
          <w:szCs w:val="32"/>
        </w:rPr>
      </w:r>
    </w:p>
    <w:p>
      <w:pPr>
        <w:pStyle w:val="Normal"/>
        <w:rPr>
          <w:rFonts w:ascii="Arial" w:hAnsi="Arial"/>
        </w:rPr>
      </w:pPr>
      <w:r>
        <w:rPr>
          <w:rFonts w:cs="Arial" w:ascii="Arial" w:hAnsi="Arial"/>
          <w:color w:val="000000"/>
          <w:sz w:val="32"/>
          <w:szCs w:val="32"/>
        </w:rPr>
        <w:t>“</w:t>
      </w:r>
      <w:r>
        <w:rPr>
          <w:rFonts w:cs="Arial" w:ascii="Arial" w:hAnsi="Arial"/>
          <w:color w:val="000000"/>
          <w:sz w:val="32"/>
          <w:szCs w:val="32"/>
        </w:rPr>
        <w:t xml:space="preserve">Jerez merece unas instalaciones públicas hípicas de referencia y esta concesión administrativa responde al objetivo </w:t>
      </w:r>
      <w:r>
        <w:rPr>
          <w:rFonts w:cs="Arial" w:ascii="Arial" w:hAnsi="Arial"/>
          <w:color w:val="000000"/>
          <w:sz w:val="32"/>
          <w:szCs w:val="32"/>
        </w:rPr>
        <w:t xml:space="preserve">del Gobierno municipal </w:t>
      </w:r>
      <w:r>
        <w:rPr>
          <w:rFonts w:cs="Arial" w:ascii="Arial" w:hAnsi="Arial"/>
          <w:color w:val="000000"/>
          <w:sz w:val="32"/>
          <w:szCs w:val="32"/>
        </w:rPr>
        <w:t xml:space="preserve">de potenciar el acceso a la hípica para todos a través de una empresa seria”, ha afirmado Laura Álvarez   </w:t>
      </w:r>
    </w:p>
    <w:p>
      <w:pPr>
        <w:pStyle w:val="Cuerpodetexto"/>
        <w:spacing w:lineRule="auto" w:line="240" w:before="0" w:after="0"/>
        <w:rPr>
          <w:rFonts w:ascii="Arial" w:hAnsi="Arial" w:cs="Trebuchet MS"/>
          <w:color w:val="000000"/>
          <w:sz w:val="26"/>
          <w:szCs w:val="26"/>
        </w:rPr>
      </w:pPr>
      <w:r>
        <w:rPr>
          <w:rFonts w:cs="Trebuchet MS" w:ascii="Arial" w:hAnsi="Arial"/>
          <w:color w:val="000000"/>
          <w:sz w:val="26"/>
          <w:szCs w:val="26"/>
        </w:rPr>
      </w:r>
    </w:p>
    <w:p>
      <w:pPr>
        <w:pStyle w:val="Textosinformato3"/>
        <w:jc w:val="both"/>
        <w:rPr>
          <w:rFonts w:ascii="Arial" w:hAnsi="Arial"/>
        </w:rPr>
      </w:pPr>
      <w:r>
        <w:rPr>
          <w:rFonts w:cs="Arial" w:ascii="Arial" w:hAnsi="Arial"/>
          <w:b/>
          <w:bCs/>
          <w:color w:val="000000"/>
          <w:sz w:val="24"/>
          <w:szCs w:val="24"/>
        </w:rPr>
        <w:t xml:space="preserve">19 de julio de 2021. </w:t>
      </w:r>
      <w:r>
        <w:rPr>
          <w:rFonts w:cs="Arial" w:ascii="Arial" w:hAnsi="Arial"/>
          <w:color w:val="000000"/>
          <w:sz w:val="24"/>
          <w:szCs w:val="24"/>
        </w:rPr>
        <w:t xml:space="preserve">La primera teniente de alcaldesa, Laura Álvarez, acompañada del delegado de Deportes y Medio Rural, Jesús Alba, ha rubricado hoy en el Complejo Deportivo Chapín el contrato de concesión administrativa con el director de la empresa Ganadería Alpende S.L., Delfín Gómez Lima, en virtud del cual podrá hacer uso y explotación de las instalaciones hípicas ubicadas en tal complejo desde hoy y en los próximos 20 años. El importe de la concesión es de 75.251,56 euros y la referida empresa invertirá 475.000 euros en la remodelación, mejora y adaptación al uso de tales instalaciones. En el acto ha estado presente </w:t>
      </w:r>
      <w:r>
        <w:rPr>
          <w:rFonts w:cs="Arial" w:ascii="Arial" w:hAnsi="Arial"/>
          <w:color w:val="000000"/>
          <w:sz w:val="24"/>
          <w:szCs w:val="24"/>
        </w:rPr>
        <w:t xml:space="preserve">además </w:t>
      </w:r>
      <w:r>
        <w:rPr>
          <w:rFonts w:cs="Arial" w:ascii="Arial" w:hAnsi="Arial"/>
          <w:color w:val="000000"/>
          <w:sz w:val="24"/>
          <w:szCs w:val="24"/>
        </w:rPr>
        <w:t>el presidente del CD Los Llanos, Delfín Gómez Espinosa de los Monteros.</w:t>
      </w:r>
    </w:p>
    <w:p>
      <w:pPr>
        <w:pStyle w:val="Textosinformato3"/>
        <w:jc w:val="both"/>
        <w:rPr>
          <w:rFonts w:ascii="Arial" w:hAnsi="Arial" w:cs="Arial"/>
          <w:color w:val="000000"/>
          <w:sz w:val="24"/>
          <w:szCs w:val="24"/>
        </w:rPr>
      </w:pPr>
      <w:r>
        <w:rPr>
          <w:rFonts w:cs="Arial" w:ascii="Arial" w:hAnsi="Arial"/>
          <w:color w:val="000000"/>
          <w:sz w:val="24"/>
          <w:szCs w:val="24"/>
        </w:rPr>
      </w:r>
    </w:p>
    <w:p>
      <w:pPr>
        <w:pStyle w:val="Normal"/>
        <w:jc w:val="both"/>
        <w:rPr>
          <w:rFonts w:ascii="Arial" w:hAnsi="Arial"/>
        </w:rPr>
      </w:pPr>
      <w:r>
        <w:rPr>
          <w:rFonts w:eastAsia="Calibri" w:cs="Arial" w:ascii="Arial" w:hAnsi="Arial"/>
          <w:color w:val="000000"/>
          <w:szCs w:val="24"/>
        </w:rPr>
        <w:t xml:space="preserve">La teniente de alcaldesa de Economía y Hacienda, Laura Álvarez, ha agradecido el trabajo técnico realizado desde las áreas municipales de Deportes y Patrimonio en la tramitación del expediente. “Jerez merece unas instalaciones hípicas públicas gestionadas de manera seria y ése es el objetivo de esta concesión, que las instalaciones hípicas de Chapín sean un referente y que acerquen las actividades ecuestres a la ciudadanía, haciendo hincapié en la recuperación de las escuelas-base de equitación”. Ha añadido que el Gobierno municipal quiere que este espacio ecuestre sea recuperado y siga siendo un “icono”. </w:t>
      </w:r>
    </w:p>
    <w:p>
      <w:pPr>
        <w:pStyle w:val="Normal"/>
        <w:jc w:val="both"/>
        <w:rPr>
          <w:rFonts w:ascii="Arial" w:hAnsi="Arial" w:eastAsia="Calibri" w:cs="Arial"/>
          <w:color w:val="000000"/>
          <w:szCs w:val="24"/>
        </w:rPr>
      </w:pPr>
      <w:r>
        <w:rPr>
          <w:rFonts w:eastAsia="Calibri" w:cs="Arial" w:ascii="Arial" w:hAnsi="Arial"/>
          <w:color w:val="000000"/>
          <w:szCs w:val="24"/>
        </w:rPr>
      </w:r>
    </w:p>
    <w:p>
      <w:pPr>
        <w:pStyle w:val="Normal"/>
        <w:jc w:val="both"/>
        <w:rPr>
          <w:rFonts w:ascii="Arial" w:hAnsi="Arial"/>
        </w:rPr>
      </w:pPr>
      <w:r>
        <w:rPr>
          <w:rFonts w:eastAsia="Calibri" w:cs="Arial" w:ascii="Arial" w:hAnsi="Arial"/>
          <w:color w:val="000000"/>
          <w:szCs w:val="24"/>
        </w:rPr>
        <w:t xml:space="preserve">Por su parte, </w:t>
      </w:r>
      <w:r>
        <w:rPr>
          <w:rFonts w:eastAsia="Calibri" w:cs="Arial" w:ascii="Arial" w:hAnsi="Arial"/>
          <w:color w:val="000000"/>
          <w:sz w:val="24"/>
          <w:szCs w:val="24"/>
        </w:rPr>
        <w:t>Delfín Gómez Lima ha señalado que la firma de esta concesión supone cumplir un sueño y ha abogado por transformar estas instalaciones hípicas en un centro de referencia gracias a los proyectos que tiene en mente la empresa que dirige.</w:t>
      </w:r>
    </w:p>
    <w:p>
      <w:pPr>
        <w:pStyle w:val="Normal"/>
        <w:jc w:val="both"/>
        <w:rPr>
          <w:rFonts w:ascii="Arial" w:hAnsi="Arial" w:eastAsia="Calibri" w:cs="Arial"/>
          <w:color w:val="000000"/>
          <w:szCs w:val="24"/>
        </w:rPr>
      </w:pPr>
      <w:r>
        <w:rPr>
          <w:rFonts w:eastAsia="Calibri" w:cs="Arial" w:ascii="Arial" w:hAnsi="Arial"/>
          <w:color w:val="000000"/>
          <w:szCs w:val="24"/>
        </w:rPr>
      </w:r>
    </w:p>
    <w:p>
      <w:pPr>
        <w:pStyle w:val="Normal"/>
        <w:jc w:val="both"/>
        <w:rPr>
          <w:rFonts w:ascii="Arial" w:hAnsi="Arial"/>
        </w:rPr>
      </w:pPr>
      <w:r>
        <w:rPr>
          <w:rFonts w:eastAsia="Calibri" w:cs="Arial" w:ascii="Arial" w:hAnsi="Arial"/>
          <w:color w:val="000000"/>
          <w:szCs w:val="24"/>
        </w:rPr>
        <w:t xml:space="preserve">Las instalaciones hípicas de Chapín, ubicadas en tal complejo en paralelo a la avenida Chema Rodríguez y al Palacio de Deportes en el interior del recinto, cuentan con una superficie de </w:t>
      </w:r>
      <w:r>
        <w:rPr>
          <w:rFonts w:cs="Arial" w:ascii="Arial" w:hAnsi="Arial"/>
          <w:color w:val="000000"/>
          <w:szCs w:val="24"/>
        </w:rPr>
        <w:t xml:space="preserve">28.221,58 metros cuadrados. </w:t>
      </w:r>
    </w:p>
    <w:p>
      <w:pPr>
        <w:pStyle w:val="Textosinformato3"/>
        <w:jc w:val="both"/>
        <w:rPr>
          <w:rFonts w:ascii="Arial" w:hAnsi="Arial" w:cs="Arial"/>
          <w:color w:val="000000"/>
          <w:sz w:val="24"/>
          <w:szCs w:val="24"/>
        </w:rPr>
      </w:pPr>
      <w:r>
        <w:rPr>
          <w:rFonts w:cs="Arial" w:ascii="Arial" w:hAnsi="Arial"/>
          <w:color w:val="000000"/>
          <w:sz w:val="24"/>
          <w:szCs w:val="24"/>
        </w:rPr>
      </w:r>
    </w:p>
    <w:p>
      <w:pPr>
        <w:pStyle w:val="Textosinformato3"/>
        <w:jc w:val="both"/>
        <w:rPr>
          <w:rFonts w:ascii="Arial" w:hAnsi="Arial"/>
        </w:rPr>
      </w:pPr>
      <w:r>
        <w:rPr>
          <w:rFonts w:eastAsia="Times New Roman" w:cs="Arial" w:ascii="Arial" w:hAnsi="Arial"/>
          <w:color w:val="000000"/>
          <w:sz w:val="24"/>
          <w:szCs w:val="24"/>
        </w:rPr>
        <w:t xml:space="preserve">Tales instalaciones </w:t>
      </w:r>
      <w:r>
        <w:rPr>
          <w:rFonts w:eastAsia="Times New Roman" w:cs="Arial" w:ascii="Arial" w:hAnsi="Arial"/>
          <w:color w:val="000000"/>
          <w:sz w:val="24"/>
          <w:szCs w:val="24"/>
        </w:rPr>
        <w:t xml:space="preserve">no </w:t>
      </w:r>
      <w:r>
        <w:rPr>
          <w:rFonts w:eastAsia="Times New Roman" w:cs="Arial" w:ascii="Arial" w:hAnsi="Arial"/>
          <w:color w:val="000000"/>
          <w:sz w:val="24"/>
          <w:szCs w:val="24"/>
        </w:rPr>
        <w:t xml:space="preserve">se encuentran en </w:t>
      </w:r>
      <w:r>
        <w:rPr>
          <w:rFonts w:eastAsia="Times New Roman" w:cs="Arial" w:ascii="Arial" w:hAnsi="Arial"/>
          <w:color w:val="000000"/>
          <w:sz w:val="24"/>
          <w:szCs w:val="24"/>
        </w:rPr>
        <w:t xml:space="preserve">su </w:t>
      </w:r>
      <w:r>
        <w:rPr>
          <w:rFonts w:eastAsia="Times New Roman" w:cs="Arial" w:ascii="Arial" w:hAnsi="Arial"/>
          <w:color w:val="000000"/>
          <w:sz w:val="24"/>
          <w:szCs w:val="24"/>
        </w:rPr>
        <w:t xml:space="preserve">estado </w:t>
      </w:r>
      <w:r>
        <w:rPr>
          <w:rFonts w:eastAsia="Times New Roman" w:cs="Arial" w:ascii="Arial" w:hAnsi="Arial"/>
          <w:color w:val="000000"/>
          <w:sz w:val="24"/>
          <w:szCs w:val="24"/>
        </w:rPr>
        <w:t>óptimo</w:t>
      </w:r>
      <w:r>
        <w:rPr>
          <w:rFonts w:eastAsia="Times New Roman" w:cs="Arial" w:ascii="Arial" w:hAnsi="Arial"/>
          <w:color w:val="000000"/>
          <w:sz w:val="24"/>
          <w:szCs w:val="24"/>
        </w:rPr>
        <w:t xml:space="preserve"> tras la última concesión, de manera que se ha recogido en el pliego de condiciones la inversión necesaria estipulada en 475.000 euros para la puesta a punto del equipamiento completo. “Los incumplimientos de la anterior empresa concesionaria han dejado las instalaciones hípicas en un estado lamentable y era necesario actuar ya e incluir en la nueva concesión esta necesaria mejora”, ha explicado Álvarez.</w:t>
      </w:r>
    </w:p>
    <w:p>
      <w:pPr>
        <w:pStyle w:val="Textosinformato3"/>
        <w:jc w:val="both"/>
        <w:rPr>
          <w:rFonts w:ascii="Arial" w:hAnsi="Arial" w:eastAsia="Times New Roman" w:cs="Arial"/>
          <w:color w:val="000000"/>
          <w:sz w:val="24"/>
          <w:szCs w:val="24"/>
        </w:rPr>
      </w:pPr>
      <w:r>
        <w:rPr>
          <w:rFonts w:eastAsia="Times New Roman" w:cs="Arial" w:ascii="Arial" w:hAnsi="Arial"/>
          <w:color w:val="000000"/>
          <w:sz w:val="24"/>
          <w:szCs w:val="24"/>
        </w:rPr>
      </w:r>
    </w:p>
    <w:p>
      <w:pPr>
        <w:pStyle w:val="Default"/>
        <w:jc w:val="both"/>
        <w:rPr>
          <w:rFonts w:ascii="Arial" w:hAnsi="Arial"/>
        </w:rPr>
      </w:pPr>
      <w:r>
        <w:rPr>
          <w:rFonts w:ascii="Arial" w:hAnsi="Arial"/>
        </w:rPr>
        <w:t xml:space="preserve">Así, ‘Ganadería Alpende’, llevará a cabo distintas reparaciones, reposiciones y mejoras para la puesta en uso del centro hípico y para que la actividad se pueda desarrollar en óptimas condiciones de calidad. </w:t>
      </w:r>
    </w:p>
    <w:p>
      <w:pPr>
        <w:pStyle w:val="Default"/>
        <w:jc w:val="both"/>
        <w:rPr>
          <w:rFonts w:ascii="Arial" w:hAnsi="Arial"/>
        </w:rPr>
      </w:pPr>
      <w:r>
        <w:rPr>
          <w:rFonts w:ascii="Arial" w:hAnsi="Arial"/>
        </w:rPr>
      </w:r>
    </w:p>
    <w:p>
      <w:pPr>
        <w:pStyle w:val="Default"/>
        <w:jc w:val="both"/>
        <w:rPr>
          <w:rFonts w:ascii="Arial" w:hAnsi="Arial"/>
          <w:b/>
          <w:b/>
          <w:bCs/>
        </w:rPr>
      </w:pPr>
      <w:r>
        <w:rPr>
          <w:rFonts w:ascii="Arial" w:hAnsi="Arial"/>
          <w:b/>
          <w:bCs/>
        </w:rPr>
      </w:r>
    </w:p>
    <w:p>
      <w:pPr>
        <w:pStyle w:val="Default"/>
        <w:jc w:val="both"/>
        <w:rPr>
          <w:rFonts w:ascii="Arial" w:hAnsi="Arial"/>
          <w:b/>
          <w:b/>
          <w:bCs/>
        </w:rPr>
      </w:pPr>
      <w:r>
        <w:rPr>
          <w:rFonts w:ascii="Arial" w:hAnsi="Arial"/>
          <w:b/>
          <w:bCs/>
        </w:rPr>
        <w:t>Mejoras en las instalaciones</w:t>
      </w:r>
    </w:p>
    <w:p>
      <w:pPr>
        <w:pStyle w:val="Default"/>
        <w:jc w:val="both"/>
        <w:rPr>
          <w:rFonts w:ascii="Arial" w:hAnsi="Arial"/>
        </w:rPr>
      </w:pPr>
      <w:r>
        <w:rPr>
          <w:rFonts w:ascii="Arial" w:hAnsi="Arial"/>
        </w:rPr>
      </w:r>
    </w:p>
    <w:p>
      <w:pPr>
        <w:pStyle w:val="Default"/>
        <w:jc w:val="both"/>
        <w:rPr>
          <w:rFonts w:ascii="Arial" w:hAnsi="Arial"/>
        </w:rPr>
      </w:pPr>
      <w:r>
        <w:rPr>
          <w:rFonts w:ascii="Arial" w:hAnsi="Arial"/>
        </w:rPr>
      </w:r>
    </w:p>
    <w:p>
      <w:pPr>
        <w:pStyle w:val="Default"/>
        <w:jc w:val="both"/>
        <w:rPr>
          <w:rFonts w:ascii="Arial" w:hAnsi="Arial"/>
        </w:rPr>
      </w:pPr>
      <w:r>
        <w:rPr>
          <w:rFonts w:ascii="Arial" w:hAnsi="Arial"/>
        </w:rPr>
        <w:t xml:space="preserve">Las actuaciones van a consistir en trabajos de reparación y mantenimiento, tales como  la sustitución de elementos dañados en boxes, reparaciones en zona de baños, y en zonas de acceso en instalaciones, reparación de humedades, trabajos de fontanería, albañilería y pintura generalizados, arreglos de cubiertas, limpieza integral de las instalaciones, instalación de puerta automática y ejecución del cerramiento de la parcela, entre otras. </w:t>
      </w:r>
    </w:p>
    <w:p>
      <w:pPr>
        <w:pStyle w:val="Textosinformato3"/>
        <w:jc w:val="both"/>
        <w:rPr>
          <w:rFonts w:ascii="Arial" w:hAnsi="Arial" w:cs="Arial"/>
          <w:color w:val="000000"/>
          <w:sz w:val="24"/>
          <w:szCs w:val="24"/>
        </w:rPr>
      </w:pPr>
      <w:r>
        <w:rPr>
          <w:rFonts w:cs="Arial" w:ascii="Arial" w:hAnsi="Arial"/>
          <w:color w:val="000000"/>
          <w:sz w:val="24"/>
          <w:szCs w:val="24"/>
        </w:rPr>
      </w:r>
    </w:p>
    <w:p>
      <w:pPr>
        <w:pStyle w:val="Default"/>
        <w:jc w:val="both"/>
        <w:rPr>
          <w:rFonts w:ascii="Arial" w:hAnsi="Arial"/>
        </w:rPr>
      </w:pPr>
      <w:r>
        <w:rPr>
          <w:rFonts w:eastAsia="Calibri" w:ascii="Arial" w:hAnsi="Arial"/>
        </w:rPr>
        <w:t>El Centro Ecuestre consta de</w:t>
      </w:r>
      <w:r>
        <w:rPr>
          <w:rFonts w:ascii="Arial" w:hAnsi="Arial"/>
        </w:rPr>
        <w:t xml:space="preserve"> varias instalaciones deportivas destinadas a uso hípico, como son el edificio del picadero cubierto, los boxes, el picadero al aire libre, la zona de entrenamiento en rondo, o los terrenos del anexo, con una superficie aproximada de 6.000 metros cuadrados. </w:t>
      </w:r>
    </w:p>
    <w:p>
      <w:pPr>
        <w:pStyle w:val="Default"/>
        <w:jc w:val="both"/>
        <w:rPr>
          <w:rFonts w:ascii="Arial" w:hAnsi="Arial"/>
        </w:rPr>
      </w:pPr>
      <w:r>
        <w:rPr>
          <w:rFonts w:ascii="Arial" w:hAnsi="Arial"/>
        </w:rPr>
      </w:r>
    </w:p>
    <w:p>
      <w:pPr>
        <w:pStyle w:val="Default"/>
        <w:jc w:val="both"/>
        <w:rPr>
          <w:rFonts w:ascii="Arial" w:hAnsi="Arial"/>
        </w:rPr>
      </w:pPr>
      <w:r>
        <w:rPr>
          <w:rFonts w:ascii="Arial" w:hAnsi="Arial"/>
        </w:rPr>
        <w:t>El picadero cubierto, que tiene una extensión de 70 metros de largo por 35 metros de ancho, cuenta con pista central, graderíos, oficinas y servicios públicos; el edificio de boxes, por su parte, mide 93 metros de largo por 24 de ancho y alberga en la actualidad un total de 89 unidades, mientras que el picadero descubierto tiene una superficie  aproximada de 100 metros de largo por 100 metros de ancho.</w:t>
      </w:r>
    </w:p>
    <w:p>
      <w:pPr>
        <w:pStyle w:val="Default"/>
        <w:jc w:val="both"/>
        <w:rPr>
          <w:rFonts w:ascii="Arial" w:hAnsi="Arial"/>
        </w:rPr>
      </w:pPr>
      <w:r>
        <w:rPr>
          <w:rFonts w:ascii="Arial" w:hAnsi="Arial"/>
        </w:rPr>
      </w:r>
    </w:p>
    <w:p>
      <w:pPr>
        <w:pStyle w:val="Normal"/>
        <w:jc w:val="both"/>
        <w:rPr>
          <w:rFonts w:ascii="Arial" w:hAnsi="Arial"/>
        </w:rPr>
      </w:pPr>
      <w:r>
        <w:rPr>
          <w:rFonts w:cs="Arial" w:ascii="Arial" w:hAnsi="Arial"/>
          <w:color w:val="000000"/>
          <w:szCs w:val="24"/>
        </w:rPr>
        <w:t xml:space="preserve">La nueva adjudicataria ha adquirido el compromiso de  realizar, de forma adicional, otras mejoras en las instalaciones deportivas, consistentes en la construcción de plazas de aparcamiento, la construcción de un box exterior de contención, o la instalación de un potro de curas. </w:t>
      </w:r>
      <w:r>
        <w:rPr>
          <w:rFonts w:ascii="Arial" w:hAnsi="Arial"/>
          <w:color w:val="000000"/>
        </w:rPr>
        <w:t xml:space="preserve">También, la empresa ha presentado un plan de actividades deportivas, y elaborará también un plan de igualdad, en materia  medioambiental, se contemplan medidas como la implantación de tecnología led en las luminarias. </w:t>
      </w:r>
    </w:p>
    <w:p>
      <w:pPr>
        <w:pStyle w:val="Normal"/>
        <w:jc w:val="both"/>
        <w:rPr>
          <w:color w:val="000000"/>
        </w:rPr>
      </w:pPr>
      <w:r>
        <w:rPr>
          <w:rFonts w:ascii="Arial" w:hAnsi="Arial"/>
        </w:rPr>
      </w:r>
    </w:p>
    <w:p>
      <w:pPr>
        <w:pStyle w:val="Normal"/>
        <w:jc w:val="both"/>
        <w:rPr>
          <w:rFonts w:ascii="Arial" w:hAnsi="Arial"/>
          <w:color w:val="000000"/>
        </w:rPr>
      </w:pPr>
      <w:r>
        <w:rPr>
          <w:rFonts w:ascii="Arial" w:hAnsi="Arial"/>
          <w:color w:val="000000"/>
        </w:rPr>
      </w:r>
    </w:p>
    <w:tbl>
      <w:tblPr>
        <w:tblW w:w="7540" w:type="dxa"/>
        <w:jc w:val="left"/>
        <w:tblInd w:w="0" w:type="dxa"/>
        <w:tblLayout w:type="fixed"/>
        <w:tblCellMar>
          <w:top w:w="0" w:type="dxa"/>
          <w:left w:w="0" w:type="dxa"/>
          <w:bottom w:w="0" w:type="dxa"/>
          <w:right w:w="0" w:type="dxa"/>
        </w:tblCellMar>
      </w:tblPr>
      <w:tblGrid>
        <w:gridCol w:w="7540"/>
      </w:tblGrid>
      <w:tr>
        <w:trPr/>
        <w:tc>
          <w:tcPr>
            <w:tcW w:w="7540" w:type="dxa"/>
            <w:tcBorders/>
          </w:tcPr>
          <w:p>
            <w:pPr>
              <w:pStyle w:val="Contenidodelatabla"/>
              <w:rPr>
                <w:rFonts w:ascii="Arial" w:hAnsi="Arial"/>
              </w:rPr>
            </w:pPr>
            <w:r>
              <w:rPr>
                <w:rFonts w:ascii="Arial" w:hAnsi="Arial"/>
                <w:i/>
                <w:iCs/>
              </w:rPr>
              <w:t>Se adjuntan fotografías y enlace de audio:</w:t>
            </w:r>
          </w:p>
          <w:p>
            <w:pPr>
              <w:pStyle w:val="Contenidodelatabla"/>
              <w:rPr>
                <w:rFonts w:ascii="Arial" w:hAnsi="Arial"/>
              </w:rPr>
            </w:pPr>
            <w:r>
              <w:rPr>
                <w:rFonts w:ascii="Arial" w:hAnsi="Arial"/>
              </w:rPr>
            </w:r>
          </w:p>
          <w:p>
            <w:pPr>
              <w:pStyle w:val="Normal"/>
              <w:jc w:val="both"/>
              <w:rPr/>
            </w:pPr>
            <w:hyperlink r:id="rId2" w:tgtFrame="_blank">
              <w:r>
                <w:rPr>
                  <w:rStyle w:val="EnlacedeInternet"/>
                  <w:rFonts w:cs="Arial" w:ascii="Arial" w:hAnsi="Arial"/>
                  <w:b w:val="false"/>
                  <w:i w:val="false"/>
                  <w:caps w:val="false"/>
                  <w:smallCaps w:val="false"/>
                  <w:color w:val="000000"/>
                  <w:spacing w:val="0"/>
                  <w:sz w:val="23"/>
                  <w:szCs w:val="24"/>
                </w:rPr>
                <w:t>https://we.tl/t-Y6UIULqPHw</w:t>
              </w:r>
            </w:hyperlink>
            <w:r>
              <w:rPr>
                <w:rFonts w:cs="Arial" w:ascii="Arial" w:hAnsi="Arial"/>
                <w:color w:val="000000"/>
                <w:szCs w:val="24"/>
              </w:rPr>
              <w:t xml:space="preserve"> </w:t>
            </w:r>
          </w:p>
        </w:tc>
      </w:tr>
    </w:tbl>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rFonts w:ascii="Arial" w:hAnsi="Arial"/>
        </w:rPr>
      </w:pPr>
      <w:r>
        <w:rPr>
          <w:rFonts w:ascii="Arial" w:hAnsi="Arial"/>
        </w:rPr>
      </w:r>
    </w:p>
    <w:p>
      <w:pPr>
        <w:pStyle w:val="Normal"/>
        <w:jc w:val="both"/>
        <w:rPr>
          <w:rFonts w:ascii="Arial" w:hAnsi="Arial" w:cs="Arial"/>
          <w:color w:val="000000"/>
          <w:szCs w:val="24"/>
        </w:rPr>
      </w:pPr>
      <w:r>
        <w:rPr>
          <w:rFonts w:cs="Arial" w:ascii="Arial" w:hAnsi="Arial"/>
          <w:color w:val="000000"/>
          <w:szCs w:val="24"/>
        </w:rPr>
      </w:r>
    </w:p>
    <w:p>
      <w:pPr>
        <w:pStyle w:val="Normal"/>
        <w:jc w:val="both"/>
        <w:rPr>
          <w:rFonts w:cs="Arial"/>
          <w:color w:val="000000"/>
          <w:szCs w:val="24"/>
        </w:rPr>
      </w:pPr>
      <w:r>
        <w:rPr>
          <w:rFonts w:ascii="Arial" w:hAnsi="Arial"/>
        </w:rPr>
      </w:r>
    </w:p>
    <w:p>
      <w:pPr>
        <w:pStyle w:val="Normal"/>
        <w:jc w:val="both"/>
        <w:rPr>
          <w:rFonts w:ascii="Arial" w:hAnsi="Arial" w:cs="Arial"/>
          <w:color w:val="000000"/>
          <w:szCs w:val="24"/>
        </w:rPr>
      </w:pPr>
      <w:r>
        <w:rPr>
          <w:rFonts w:cs="Arial" w:ascii="Arial" w:hAnsi="Arial"/>
          <w:color w:val="000000"/>
          <w:szCs w:val="24"/>
        </w:rPr>
      </w:r>
    </w:p>
    <w:p>
      <w:pPr>
        <w:pStyle w:val="Cuerpodetexto"/>
        <w:spacing w:lineRule="auto" w:line="240" w:before="0" w:after="0"/>
        <w:jc w:val="both"/>
        <w:rPr>
          <w:rFonts w:ascii="Arial" w:hAnsi="Arial" w:cs="Arial"/>
          <w:szCs w:val="24"/>
        </w:rPr>
      </w:pPr>
      <w:r>
        <w:rPr>
          <w:rFonts w:cs="Arial" w:ascii="Arial" w:hAnsi="Arial"/>
          <w:szCs w:val="24"/>
        </w:rPr>
      </w:r>
    </w:p>
    <w:p>
      <w:pPr>
        <w:pStyle w:val="Cuerpodetexto"/>
        <w:spacing w:lineRule="auto" w:line="240" w:before="0" w:after="0"/>
        <w:jc w:val="both"/>
        <w:rPr>
          <w:rFonts w:ascii="Arial" w:hAnsi="Arial"/>
        </w:rPr>
      </w:pPr>
      <w:r>
        <w:rPr>
          <w:rFonts w:ascii="Arial" w:hAnsi="Arial"/>
        </w:rPr>
      </w:r>
    </w:p>
    <w:sectPr>
      <w:headerReference w:type="default" r:id="rId3"/>
      <w:footerReference w:type="default" r:id="rId4"/>
      <w:type w:val="nextPage"/>
      <w:pgSz w:w="11906" w:h="16838"/>
      <w:pgMar w:left="2835" w:right="1531" w:header="709" w:top="1418" w:footer="72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Wingdings">
    <w:charset w:val="00"/>
    <w:family w:val="roman"/>
    <w:pitch w:val="variable"/>
  </w:font>
  <w:font w:name="Symbol">
    <w:charset w:val="00"/>
    <w:family w:val="roman"/>
    <w:pitch w:val="variable"/>
  </w:font>
  <w:font w:name="Trebuchet MS">
    <w:charset w:val="00"/>
    <w:family w:val="roman"/>
    <w:pitch w:val="variable"/>
  </w:font>
  <w:font w:name="Courier New">
    <w:charset w:val="00"/>
    <w:family w:val="roman"/>
    <w:pitch w:val="variable"/>
  </w:font>
  <w:font w:name="OpenSymbol">
    <w:altName w:val="Arial Unicode MS"/>
    <w:charset w:val="00"/>
    <w:family w:val="roman"/>
    <w:pitch w:val="variable"/>
  </w:font>
  <w:font w:name="Arial">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x-none"/>
      </w:rPr>
    </w:pPr>
    <w:r>
      <w:rPr>
        <w:lang w:val="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34415" cy="920686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7353" t="-925" r="-7353" b="-925"/>
                  <a:stretch>
                    <a:fillRect/>
                  </a:stretch>
                </pic:blipFill>
                <pic:spPr bwMode="auto">
                  <a:xfrm>
                    <a:off x="0" y="0"/>
                    <a:ext cx="1034415" cy="920686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59130" cy="92964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8365" t="-3934" r="-8365" b="-3934"/>
                  <a:stretch>
                    <a:fillRect/>
                  </a:stretch>
                </pic:blipFill>
                <pic:spPr bwMode="auto">
                  <a:xfrm>
                    <a:off x="0" y="0"/>
                    <a:ext cx="659130" cy="929640"/>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customStyle="1">
    <w:name w:val="Default Paragraph Font"/>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8" w:customStyle="1">
    <w:name w:val="Fuente de párrafo predeter.8"/>
    <w:qFormat/>
    <w:rPr/>
  </w:style>
  <w:style w:type="character" w:styleId="WW8Num2z0" w:customStyle="1">
    <w:name w:val="WW8Num2z0"/>
    <w:qFormat/>
    <w:rPr>
      <w:rFonts w:ascii="Wingdings" w:hAnsi="Wingdings" w:cs="OpenSymbol"/>
    </w:rPr>
  </w:style>
  <w:style w:type="character" w:styleId="WW8Num2z1" w:customStyle="1">
    <w:name w:val="WW8Num2z1"/>
    <w:qFormat/>
    <w:rPr>
      <w:rFonts w:ascii="Symbol" w:hAnsi="Symbol" w:cs="OpenSymbol"/>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Trebuchet MS" w:hAnsi="Trebuchet MS" w:eastAsia="Trebuchet MS" w:cs="Trebuchet MS"/>
      <w:b/>
      <w:lang w:val="es-ES"/>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Fuentedeprrafopredeter7" w:customStyle="1">
    <w:name w:val="Fuente de párrafo predeter.7"/>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Annotationreference" w:customStyle="1">
    <w:name w:val="annotation reference"/>
    <w:qFormat/>
    <w:rPr>
      <w:sz w:val="16"/>
      <w:szCs w:val="16"/>
    </w:rPr>
  </w:style>
  <w:style w:type="character" w:styleId="Fuentedeprrafopredeter5" w:customStyle="1">
    <w:name w:val="Fuente de párrafo predeter.5"/>
    <w:qFormat/>
    <w:rPr/>
  </w:style>
  <w:style w:type="character" w:styleId="Textexposedshow" w:customStyle="1">
    <w:name w:val="text_exposed_show"/>
    <w:qFormat/>
    <w:rPr/>
  </w:style>
  <w:style w:type="character" w:styleId="Appleconvertedspace" w:customStyle="1">
    <w:name w:val="apple-converted-space"/>
    <w:qFormat/>
    <w:rPr/>
  </w:style>
  <w:style w:type="character" w:styleId="TextoindependienteCar" w:customStyle="1">
    <w:name w:val="Texto independiente Car"/>
    <w:qFormat/>
    <w:rPr>
      <w:sz w:val="24"/>
      <w:lang w:val="es-ES_tradnl"/>
    </w:rPr>
  </w:style>
  <w:style w:type="character" w:styleId="WW8Num21z1" w:customStyle="1">
    <w:name w:val="WW8Num21z1"/>
    <w:qFormat/>
    <w:rPr>
      <w:rFonts w:ascii="Courier New" w:hAnsi="Courier New" w:eastAsia="Courier New" w:cs="Courier New"/>
    </w:rPr>
  </w:style>
  <w:style w:type="character" w:styleId="WW8Num19z1" w:customStyle="1">
    <w:name w:val="WW8Num19z1"/>
    <w:qFormat/>
    <w:rPr>
      <w:rFonts w:ascii="Courier New" w:hAnsi="Courier New" w:eastAsia="Courier New" w:cs="Courier New"/>
    </w:rPr>
  </w:style>
  <w:style w:type="character" w:styleId="WW8Num19z0" w:customStyle="1">
    <w:name w:val="WW8Num19z0"/>
    <w:qFormat/>
    <w:rPr>
      <w:rFonts w:ascii="Calibri" w:hAnsi="Calibri" w:eastAsia="Calibri" w:cs="Calibri"/>
    </w:rPr>
  </w:style>
  <w:style w:type="character" w:styleId="WW8Num18z1" w:customStyle="1">
    <w:name w:val="WW8Num18z1"/>
    <w:qFormat/>
    <w:rPr>
      <w:rFonts w:ascii="Courier New" w:hAnsi="Courier New" w:eastAsia="Courier New" w:cs="Courier New"/>
    </w:rPr>
  </w:style>
  <w:style w:type="character" w:styleId="WW8Num16z1" w:customStyle="1">
    <w:name w:val="WW8Num16z1"/>
    <w:qFormat/>
    <w:rPr>
      <w:rFonts w:ascii="Courier New" w:hAnsi="Courier New" w:eastAsia="Courier New" w:cs="Courier New"/>
    </w:rPr>
  </w:style>
  <w:style w:type="character" w:styleId="WW8Num16z0" w:customStyle="1">
    <w:name w:val="WW8Num16z0"/>
    <w:qFormat/>
    <w:rPr>
      <w:rFonts w:ascii="Trebuchet MS" w:hAnsi="Trebuchet MS" w:eastAsia="Times New Roman" w:cs="Trebuchet MS"/>
    </w:rPr>
  </w:style>
  <w:style w:type="character" w:styleId="WW8Num11z8" w:customStyle="1">
    <w:name w:val="WW8Num11z8"/>
    <w:qFormat/>
    <w:rPr/>
  </w:style>
  <w:style w:type="character" w:styleId="WW8Num11z7" w:customStyle="1">
    <w:name w:val="WW8Num11z7"/>
    <w:qFormat/>
    <w:rPr/>
  </w:style>
  <w:style w:type="character" w:styleId="WW8Num11z6" w:customStyle="1">
    <w:name w:val="WW8Num11z6"/>
    <w:qFormat/>
    <w:rPr/>
  </w:style>
  <w:style w:type="character" w:styleId="WW8Num11z5" w:customStyle="1">
    <w:name w:val="WW8Num11z5"/>
    <w:qFormat/>
    <w:rPr/>
  </w:style>
  <w:style w:type="character" w:styleId="WW8Num11z4" w:customStyle="1">
    <w:name w:val="WW8Num11z4"/>
    <w:qFormat/>
    <w:rPr/>
  </w:style>
  <w:style w:type="character" w:styleId="WW8Num11z3" w:customStyle="1">
    <w:name w:val="WW8Num11z3"/>
    <w:qFormat/>
    <w:rPr/>
  </w:style>
  <w:style w:type="character" w:styleId="WW8Num22z1" w:customStyle="1">
    <w:name w:val="WW8Num22z1"/>
    <w:qFormat/>
    <w:rPr>
      <w:rFonts w:ascii="Courier New" w:hAnsi="Courier New" w:eastAsia="Courier New" w:cs="Courier New"/>
    </w:rPr>
  </w:style>
  <w:style w:type="character" w:styleId="WW8Num21z0" w:customStyle="1">
    <w:name w:val="WW8Num21z0"/>
    <w:qFormat/>
    <w:rPr>
      <w:rFonts w:ascii="Trebuchet MS" w:hAnsi="Trebuchet MS" w:eastAsia="Times New Roman" w:cs="Trebuchet MS"/>
    </w:rPr>
  </w:style>
  <w:style w:type="character" w:styleId="WW8Num18z0" w:customStyle="1">
    <w:name w:val="WW8Num18z0"/>
    <w:qFormat/>
    <w:rPr>
      <w:rFonts w:ascii="Trebuchet MS" w:hAnsi="Trebuchet MS" w:eastAsia="Times New Roman" w:cs="Trebuchet MS"/>
    </w:rPr>
  </w:style>
  <w:style w:type="character" w:styleId="WW8Num13z8" w:customStyle="1">
    <w:name w:val="WW8Num13z8"/>
    <w:qFormat/>
    <w:rPr/>
  </w:style>
  <w:style w:type="character" w:styleId="WW8Num13z7" w:customStyle="1">
    <w:name w:val="WW8Num13z7"/>
    <w:qFormat/>
    <w:rPr/>
  </w:style>
  <w:style w:type="character" w:styleId="WW8Num13z6" w:customStyle="1">
    <w:name w:val="WW8Num13z6"/>
    <w:qFormat/>
    <w:rPr/>
  </w:style>
  <w:style w:type="character" w:styleId="WW8Num13z5" w:customStyle="1">
    <w:name w:val="WW8Num13z5"/>
    <w:qFormat/>
    <w:rPr/>
  </w:style>
  <w:style w:type="character" w:styleId="WW8Num13z4" w:customStyle="1">
    <w:name w:val="WW8Num13z4"/>
    <w:qFormat/>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7" w:customStyle="1">
    <w:name w:val="Título7"/>
    <w:basedOn w:val="Normal"/>
    <w:next w:val="Cuerpodetexto"/>
    <w:qFormat/>
    <w:pPr>
      <w:keepNext w:val="true"/>
      <w:spacing w:before="240" w:after="120"/>
    </w:pPr>
    <w:rPr>
      <w:rFonts w:ascii="Liberation Sans" w:hAnsi="Liberation Sans" w:eastAsia="Microsoft YaHei" w:cs="Arial"/>
      <w:sz w:val="28"/>
      <w:szCs w:val="28"/>
    </w:rPr>
  </w:style>
  <w:style w:type="paragraph" w:styleId="Epgrafe">
    <w:name w:val="Epígrafe"/>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customStyle="1">
    <w:name w:val="List Paragraph"/>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BalloonText" w:customStyle="1">
    <w:name w:val="Balloon Text"/>
    <w:basedOn w:val="Normal"/>
    <w:qFormat/>
    <w:pPr/>
    <w:rPr>
      <w:rFonts w:ascii="Segoe UI" w:hAnsi="Segoe UI" w:cs="Segoe UI"/>
      <w:sz w:val="18"/>
      <w:szCs w:val="18"/>
    </w:rPr>
  </w:style>
  <w:style w:type="paragraph" w:styleId="Annotationtext" w:customStyle="1">
    <w:name w:val="annotation text"/>
    <w:basedOn w:val="Normal"/>
    <w:qFormat/>
    <w:pPr/>
    <w:rPr>
      <w:sz w:val="20"/>
    </w:rPr>
  </w:style>
  <w:style w:type="paragraph" w:styleId="Annotationsubject" w:customStyle="1">
    <w:name w:val="annotation subject"/>
    <w:basedOn w:val="Annotationtext"/>
    <w:next w:val="Annotationtext"/>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Lneahorizontal" w:customStyle="1">
    <w:name w:val="Línea horizontal"/>
    <w:basedOn w:val="Normal"/>
    <w:next w:val="Cuerpodetexto"/>
    <w:qFormat/>
    <w:pPr>
      <w:suppressLineNumbers/>
      <w:pBdr>
        <w:bottom w:val="double" w:sz="2" w:space="0" w:color="808080"/>
      </w:pBdr>
      <w:spacing w:before="0" w:after="283"/>
    </w:pPr>
    <w:rPr>
      <w:sz w:val="12"/>
      <w:szCs w:val="12"/>
    </w:rPr>
  </w:style>
  <w:style w:type="paragraph" w:styleId="S8" w:customStyle="1">
    <w:name w:val="s8"/>
    <w:basedOn w:val="Normal"/>
    <w:qFormat/>
    <w:pPr>
      <w:suppressAutoHyphens w:val="false"/>
      <w:spacing w:before="100" w:after="100"/>
    </w:pPr>
    <w:rPr>
      <w:rFonts w:ascii="Times New Roman" w:hAnsi="Times New Roman" w:cs="Times New Roman"/>
      <w:sz w:val="20"/>
      <w:lang w:val="es-ES_tradnl"/>
    </w:rPr>
  </w:style>
  <w:style w:type="paragraph" w:styleId="Textoindependiente22" w:customStyle="1">
    <w:name w:val="Texto independiente 22"/>
    <w:basedOn w:val="Normal"/>
    <w:qFormat/>
    <w:pPr>
      <w:spacing w:lineRule="auto" w:line="480" w:before="0" w:after="120"/>
    </w:pPr>
    <w:rPr/>
  </w:style>
  <w:style w:type="paragraph" w:styleId="WWTextoindependiente3" w:customStyle="1">
    <w:name w:val="WW-Texto independiente 3"/>
    <w:basedOn w:val="Normal"/>
    <w:qFormat/>
    <w:pPr>
      <w:jc w:val="center"/>
    </w:pPr>
    <w:rPr>
      <w:rFonts w:ascii="Arial Narrow" w:hAnsi="Arial Narrow" w:eastAsia="Arial" w:cs="Arial Narrow"/>
      <w:sz w:val="20"/>
      <w:szCs w:val="16"/>
    </w:rPr>
  </w:style>
  <w:style w:type="paragraph" w:styleId="Etiqueta" w:customStyle="1">
    <w:name w:val="Etiqueta"/>
    <w:basedOn w:val="Normal"/>
    <w:qFormat/>
    <w:pPr>
      <w:spacing w:before="120" w:after="120"/>
    </w:pPr>
    <w:rPr>
      <w:rFonts w:eastAsia="Tahoma"/>
      <w:i/>
      <w:iCs/>
    </w:rPr>
  </w:style>
  <w:style w:type="paragraph" w:styleId="Encabezadodelatabla" w:customStyle="1">
    <w:name w:val="Encabezado de la tabla"/>
    <w:qFormat/>
    <w:pPr>
      <w:widowControl w:val="false"/>
      <w:suppressAutoHyphens w:val="true"/>
      <w:bidi w:val="0"/>
      <w:spacing w:before="0" w:after="0"/>
      <w:jc w:val="center"/>
    </w:pPr>
    <w:rPr>
      <w:rFonts w:ascii="Liberation Serif" w:hAnsi="Liberation Serif" w:eastAsia="NSimSun" w:cs="Arial"/>
      <w:b/>
      <w:color w:val="auto"/>
      <w:kern w:val="0"/>
      <w:sz w:val="24"/>
      <w:szCs w:val="24"/>
      <w:lang w:val="es-ES" w:eastAsia="zh-CN" w:bidi="hi-IN"/>
    </w:rPr>
  </w:style>
  <w:style w:type="paragraph" w:styleId="LOnormal1" w:customStyle="1">
    <w:name w:val="LO-normal1"/>
    <w:qFormat/>
    <w:pPr>
      <w:widowControl/>
      <w:suppressAutoHyphens w:val="true"/>
      <w:bidi w:val="0"/>
      <w:spacing w:before="0" w:after="0"/>
      <w:jc w:val="left"/>
    </w:pPr>
    <w:rPr>
      <w:rFonts w:ascii="Liberation Serif" w:hAnsi="Liberation Serif" w:eastAsia="NSimSun" w:cs="Arial"/>
      <w:color w:val="auto"/>
      <w:kern w:val="0"/>
      <w:sz w:val="24"/>
      <w:szCs w:val="24"/>
      <w:lang w:val="es-ES" w:eastAsia="zh-CN" w:bidi="hi-IN"/>
    </w:rPr>
  </w:style>
  <w:style w:type="paragraph" w:styleId="Alfapxapfapea1jji" w:customStyle="1">
    <w:name w:val="alf-apx-apf-ape-a1j-ji"/>
    <w:basedOn w:val="Normal"/>
    <w:qFormat/>
    <w:pPr>
      <w:suppressAutoHyphens w:val="false"/>
      <w:spacing w:before="280" w:after="280"/>
    </w:pPr>
    <w:rPr>
      <w:rFonts w:ascii="Times New Roman" w:hAnsi="Times New Roman" w:cs="Times New Roman"/>
      <w:szCs w:val="24"/>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Y6UIULqPHw"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LibreOffice/7.0.6.2$Windows_X86_64 LibreOffice_project/144abb84a525d8e30c9dbbefa69cbbf2d8d4ae3b</Application>
  <AppVersion>15.0000</AppVersion>
  <DocSecurity>0</DocSecurity>
  <Pages>3</Pages>
  <Words>757</Words>
  <Characters>4064</Characters>
  <CharactersWithSpaces>4821</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2021-07-19T06:56:00Z</dcterms:created>
  <dc:creator>juanantonio</dc:creator>
  <dc:description/>
  <dc:language>es-ES</dc:language>
  <cp:lastModifiedBy/>
  <cp:lastPrinted>1995-11-21T16:41:00Z</cp:lastPrinted>
  <dcterms:modified xsi:type="dcterms:W3CDTF">2021-07-19T12:13:33Z</dcterms:modified>
  <cp:revision>5</cp:revision>
  <dc:subject/>
  <dc:title>Que la Junta de Gobierno Local, en sesión celebrada el día 16 de Enero de 2004, al particular  del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