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Gobierno local acuerda con ‘Ecologistas en Acción’ la apertura del parque de Santa Teresa a partir del próximo lunes</w:t>
      </w:r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José Antonio Díaz ha mantenido una reunión con el colectivo para concretar acciones de colaboración en materia medioambiental y ha avanzado la apertura del citado parque el lunes día 8 </w:t>
      </w:r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Así, el parque abrirá de 9 horas a 14 horas de lunes a viernes y los sábados primero y tercero de cada mes de 10 horas a 14 horas</w:t>
      </w:r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7 de noviembre de 2021. </w:t>
      </w:r>
      <w:r>
        <w:rPr>
          <w:rFonts w:cs="Arial" w:ascii="Arial" w:hAnsi="Arial"/>
          <w:sz w:val="24"/>
          <w:szCs w:val="24"/>
        </w:rPr>
        <w:t>El teniente de alcaldesa de Urbanismo, Infraestructuras y Medio Ambiente, José Antonio Díaz, ha mantenido una reunión con Ecologistas en Acción, representada en la misma por José Manuel Soria, Daniel López y Javier Farfante, para abordar distintos temas en relación a la acción del Gobierno local en materia de Medio Ambiente.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En este sentido, José Antonio Díaz ha explicado que “seguimos reafirmando </w:t>
      </w: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  <w:t xml:space="preserve">nuestra voluntad de colaboración con ‘Ecologistas en Acción’ para el avance de Jerez en el respeto a su entorno medioambiental. De esta manera, atendiendo su demanda y tras haber podido actuar para ello, hemos acordado la próxima apertura del Parque de Santa Teresa, que es una de las joyas medioambientales que tiene nuestra ciudad. </w:t>
      </w: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  <w:t xml:space="preserve">Será </w:t>
      </w: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  <w:t>a partir del próximo lunes día 8 y durante todos los días de la semana, para el uso y disfrute de la ciudadanía”.</w:t>
      </w:r>
    </w:p>
    <w:p>
      <w:pPr>
        <w:pStyle w:val="Normal"/>
        <w:jc w:val="both"/>
        <w:rPr>
          <w:rFonts w:ascii="Arial" w:hAnsi="Arial" w:cs="Arial"/>
          <w:color w:val="212121"/>
          <w:kern w:val="0"/>
          <w:lang w:eastAsia="es-ES"/>
        </w:rPr>
      </w:pPr>
      <w:r>
        <w:rPr>
          <w:rFonts w:cs="Arial" w:ascii="Arial" w:hAnsi="Arial"/>
          <w:color w:val="212121"/>
          <w:kern w:val="0"/>
          <w:lang w:eastAsia="es-ES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212121"/>
          <w:kern w:val="0"/>
          <w:sz w:val="24"/>
          <w:szCs w:val="24"/>
          <w:lang w:val="es-ES" w:eastAsia="es-ES" w:bidi="ar-SA"/>
        </w:rPr>
        <w:t>E</w:t>
      </w: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  <w:t xml:space="preserve">l parque abrirá de 9 horas a 14 horas de lunes a viernes y los sábados primero y tercero de cada mes de 10 horas a 14 horas. </w:t>
      </w:r>
    </w:p>
    <w:p>
      <w:pPr>
        <w:pStyle w:val="Normal"/>
        <w:jc w:val="both"/>
        <w:rPr>
          <w:rFonts w:ascii="Arial" w:hAnsi="Arial" w:cs="Arial"/>
          <w:color w:val="212121"/>
          <w:kern w:val="0"/>
          <w:sz w:val="24"/>
          <w:szCs w:val="24"/>
          <w:lang w:eastAsia="es-ES"/>
        </w:rPr>
      </w:pP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  <w:t xml:space="preserve">Del mismo modo, han abordado la situación del proyecto de Vía Verde desde Jerez en conexión con la Sierra de Cádiz, así como reiterado la causa común del Ayuntamiento y ‘Ecologistas en Acción’, a la que han sumado numerosas entidades y colectivos de la ciudad, para que la Junta de Andalucía impulse el Sendero del Guadalete como “motor de desarrollo de la zona rural” que tenía contemplada una inversión a través de fondos europeos ITI de 3,7 millones de euros. </w:t>
      </w:r>
    </w:p>
    <w:p>
      <w:pPr>
        <w:pStyle w:val="Normal"/>
        <w:jc w:val="both"/>
        <w:rPr>
          <w:rFonts w:ascii="Arial" w:hAnsi="Arial" w:cs="Arial"/>
          <w:color w:val="212121"/>
          <w:kern w:val="0"/>
          <w:sz w:val="24"/>
          <w:szCs w:val="24"/>
          <w:lang w:eastAsia="es-ES"/>
        </w:rPr>
      </w:pPr>
      <w:r>
        <w:rPr>
          <w:rFonts w:cs="Arial" w:ascii="Arial" w:hAnsi="Arial"/>
          <w:color w:val="212121"/>
          <w:kern w:val="0"/>
          <w:sz w:val="24"/>
          <w:szCs w:val="24"/>
          <w:lang w:eastAsia="es-ES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 w:val="24"/>
                <w:szCs w:val="24"/>
              </w:rPr>
              <w:t>Se adjunta fotografía</w:t>
            </w:r>
            <w:bookmarkStart w:id="0" w:name="_GoBack"/>
            <w:bookmarkEnd w:id="0"/>
            <w:r>
              <w:rPr>
                <w:rFonts w:cs="Arial" w:ascii="Arial" w:hAnsi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>
      <w:pPr>
        <w:pStyle w:val="Cuerpodetex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8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LibreOffice/7.0.6.2$Windows_X86_64 LibreOffice_project/144abb84a525d8e30c9dbbefa69cbbf2d8d4ae3b</Application>
  <AppVersion>15.0000</AppVersion>
  <Pages>2</Pages>
  <Words>335</Words>
  <Characters>1590</Characters>
  <CharactersWithSpaces>1920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2021-11-05T14:08:30Z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