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rFonts w:ascii="Arial" w:hAnsi="Arial" w:eastAsia="Times New Roman" w:cs="Arial"/>
          <w:b/>
          <w:b/>
          <w:bCs/>
          <w:color w:val="auto"/>
          <w:kern w:val="2"/>
          <w:sz w:val="40"/>
          <w:szCs w:val="40"/>
          <w:lang w:val="es-ES" w:eastAsia="zh-CN" w:bidi="ar-SA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40"/>
          <w:szCs w:val="40"/>
          <w:lang w:val="es-ES" w:eastAsia="zh-CN" w:bidi="ar-SA"/>
        </w:rPr>
        <w:t>La Muestra Inter Centros invita al alumnado a comprometerse con la Igualdad y contra la violencia de género</w:t>
      </w:r>
    </w:p>
    <w:p>
      <w:pPr>
        <w:pStyle w:val="Cuerpodetexto"/>
        <w:spacing w:lineRule="auto" w:line="240"/>
        <w:rPr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Once centros participan en esta actividad de sensibilización con un total de quince proyectos</w:t>
      </w:r>
    </w:p>
    <w:p>
      <w:pPr>
        <w:pStyle w:val="Cuerpodetexto"/>
        <w:spacing w:lineRule="auto" w:line="240"/>
        <w:jc w:val="both"/>
        <w:rPr>
          <w:rFonts w:ascii="Trebuchet MS" w:hAnsi="Trebuchet MS" w:cs="Trebuchet MS"/>
          <w:b/>
          <w:b/>
          <w:bCs/>
          <w:sz w:val="18"/>
          <w:szCs w:val="26"/>
        </w:rPr>
      </w:pPr>
      <w:r>
        <w:rPr>
          <w:rFonts w:cs="Trebuchet MS" w:ascii="Trebuchet MS" w:hAnsi="Trebuchet MS"/>
          <w:b/>
          <w:bCs/>
          <w:sz w:val="18"/>
          <w:szCs w:val="26"/>
        </w:rPr>
      </w:r>
    </w:p>
    <w:p>
      <w:pPr>
        <w:pStyle w:val="Cuerpodetexto"/>
        <w:spacing w:lineRule="auto" w:line="240" w:before="0" w:after="140"/>
        <w:jc w:val="both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4</w:t>
      </w:r>
      <w:r>
        <w:rPr>
          <w:rFonts w:cs="Arial" w:ascii="Arial" w:hAnsi="Arial"/>
          <w:b/>
          <w:bCs/>
          <w:sz w:val="26"/>
          <w:szCs w:val="26"/>
        </w:rPr>
        <w:t xml:space="preserve"> de diciembre de 2021.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eastAsia="Times New Roman" w:cs="Arial" w:ascii="Arial" w:hAnsi="Arial"/>
          <w:color w:val="auto"/>
          <w:kern w:val="2"/>
          <w:sz w:val="26"/>
          <w:szCs w:val="26"/>
          <w:lang w:val="es-ES" w:eastAsia="zh-CN" w:bidi="ar-SA"/>
        </w:rPr>
        <w:t>Los delegados de Igualdad y Diversidad, Ana Hérica Ramos, y Educación, Juan Antonio Cabe</w:t>
      </w:r>
      <w:r>
        <w:rPr>
          <w:rFonts w:eastAsia="Times New Roman" w:cs="Arial" w:ascii="Arial" w:hAnsi="Arial"/>
          <w:color w:val="auto"/>
          <w:kern w:val="2"/>
          <w:sz w:val="26"/>
          <w:szCs w:val="26"/>
          <w:lang w:val="es-ES" w:eastAsia="zh-CN" w:bidi="ar-SA"/>
        </w:rPr>
        <w:t>l</w:t>
      </w:r>
      <w:r>
        <w:rPr>
          <w:rFonts w:eastAsia="Times New Roman" w:cs="Arial" w:ascii="Arial" w:hAnsi="Arial"/>
          <w:color w:val="auto"/>
          <w:kern w:val="2"/>
          <w:sz w:val="26"/>
          <w:szCs w:val="26"/>
          <w:lang w:val="es-ES" w:eastAsia="zh-CN" w:bidi="ar-SA"/>
        </w:rPr>
        <w:t>lo, han visitado hoy la Muestra Intercentros por la Igualdad y Contra la Violencia de Género, una exposición instalada en la Sala Paúl, y que reúne los trabajos y el resultado de la reflexion y sensibilización desarrollados por un total de once centros de Secundaria de la ciudad. Esta actividad se ha desarrollado durante toda la semana gracias a los fondos del Pacto de Estado contra la Violencia de Género, y dentro de la programación por el Día Internacional contra la Violencia de Género.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color w:val="000000"/>
          <w:kern w:val="2"/>
          <w:sz w:val="26"/>
          <w:szCs w:val="26"/>
          <w:lang w:val="es-ES" w:eastAsia="zh-CN" w:bidi="ar-SA"/>
        </w:rPr>
        <w:t xml:space="preserve">La </w:t>
      </w:r>
      <w:r>
        <w:rPr>
          <w:rFonts w:eastAsia="Calibri" w:cs="Arial" w:ascii="Arial" w:hAnsi="Arial"/>
          <w:color w:val="000000"/>
          <w:sz w:val="26"/>
          <w:szCs w:val="26"/>
        </w:rPr>
        <w:t xml:space="preserve">actividad </w:t>
      </w:r>
      <w:r>
        <w:rPr>
          <w:rFonts w:eastAsia="Calibri" w:cs="Arial" w:ascii="Arial" w:hAnsi="Arial"/>
          <w:color w:val="000000"/>
          <w:kern w:val="2"/>
          <w:sz w:val="26"/>
          <w:szCs w:val="26"/>
          <w:lang w:val="es-ES" w:eastAsia="zh-CN" w:bidi="ar-SA"/>
        </w:rPr>
        <w:t xml:space="preserve">ha contado con la participación de </w:t>
      </w:r>
      <w:r>
        <w:rPr>
          <w:rFonts w:eastAsia="Times New Roman" w:cs="Tahoma" w:ascii="Arial" w:hAnsi="Arial"/>
          <w:color w:val="auto"/>
          <w:kern w:val="2"/>
          <w:sz w:val="26"/>
          <w:szCs w:val="26"/>
          <w:lang w:val="es-ES" w:eastAsia="zh-CN" w:bidi="ar-SA"/>
        </w:rPr>
        <w:t xml:space="preserve">la </w:t>
      </w:r>
      <w:r>
        <w:rPr>
          <w:rFonts w:eastAsia="Calibri" w:cs="Arial" w:ascii="Arial" w:hAnsi="Arial"/>
          <w:color w:val="000000"/>
          <w:kern w:val="2"/>
          <w:sz w:val="26"/>
          <w:szCs w:val="26"/>
          <w:lang w:val="es-ES" w:eastAsia="zh-CN" w:bidi="ar-SA"/>
        </w:rPr>
        <w:t>Escuela de Arte, IES La Granja, IES La Merced, IES Sofía, IES Almunia, IES Padre Luis Coloma, IES Asta Regia, IES Caballero Bonald, IES Seritium, IES Rome</w:t>
      </w:r>
      <w:bookmarkStart w:id="0" w:name="_GoBack"/>
      <w:bookmarkEnd w:id="0"/>
      <w:r>
        <w:rPr>
          <w:rFonts w:eastAsia="Calibri" w:cs="Arial" w:ascii="Arial" w:hAnsi="Arial"/>
          <w:color w:val="000000"/>
          <w:kern w:val="2"/>
          <w:sz w:val="26"/>
          <w:szCs w:val="26"/>
          <w:lang w:val="es-ES" w:eastAsia="zh-CN" w:bidi="ar-SA"/>
        </w:rPr>
        <w:t xml:space="preserve">ro Vargas e IES Lola Flores, a través de la Oferta Educativa Municipal Jerez Educa. 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Times New Roman" w:cs="Tahoma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Esta iniciativa ha contado con la implicación de </w:t>
      </w:r>
      <w:r>
        <w:rPr>
          <w:rFonts w:eastAsia="Calibri" w:cs="Arial" w:ascii="Arial" w:hAnsi="Arial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unos 450 jóvenes, y más de 20 docentes </w:t>
      </w:r>
      <w:r>
        <w:rPr>
          <w:rFonts w:eastAsia="Calibri" w:cs="Arial" w:ascii="Arial" w:hAnsi="Arial"/>
          <w:color w:val="000000"/>
          <w:kern w:val="2"/>
          <w:sz w:val="26"/>
          <w:szCs w:val="26"/>
          <w:lang w:val="es-ES" w:eastAsia="zh-CN" w:bidi="ar-SA"/>
        </w:rPr>
        <w:t>de la ciudad trabajando en cada proyecto participante desde el mes de octubre. Los centros han disfrutado con la dinamización de Salamandra Teatro y de alumnado de prácticas del IES Asta Regia en su visita a la Sala Paúl para conocer las diferentes propuestas presentadas.</w:t>
      </w:r>
    </w:p>
    <w:p>
      <w:pPr>
        <w:pStyle w:val="ListParagraph"/>
        <w:jc w:val="both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color w:val="000000" w:themeColor="text1"/>
          <w:kern w:val="2"/>
          <w:sz w:val="26"/>
          <w:szCs w:val="26"/>
          <w:lang w:val="es-ES" w:eastAsia="zh-CN" w:bidi="ar-SA"/>
        </w:rPr>
        <w:t>La</w:t>
      </w:r>
      <w:r>
        <w:rPr>
          <w:rFonts w:eastAsia="Calibri" w:cs="Arial" w:ascii="Arial" w:hAnsi="Arial"/>
          <w:color w:val="000000" w:themeColor="text1"/>
          <w:sz w:val="26"/>
          <w:szCs w:val="26"/>
        </w:rPr>
        <w:t xml:space="preserve"> Muestra Inter Centros por la Igualdad y contra la violencia de género pretende contribuir a la reflexión y la toma de conciencia sobre la responsabilidad individual y colectiva en la erradicación de la violencia de género y en la construcción de una sociedad donde la igualdad entre hombres y mujeres sea cada día más real.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 w:themeColor="text1"/>
          <w:sz w:val="26"/>
          <w:szCs w:val="26"/>
        </w:rPr>
      </w:pPr>
      <w:r>
        <w:rPr>
          <w:rFonts w:eastAsia="Calibri" w:cs="Arial" w:ascii="Arial" w:hAnsi="Arial"/>
          <w:color w:val="000000" w:themeColor="text1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color w:val="000000" w:themeColor="text1"/>
          <w:sz w:val="26"/>
          <w:szCs w:val="26"/>
        </w:rPr>
        <w:t xml:space="preserve">La </w:t>
      </w:r>
      <w:r>
        <w:rPr>
          <w:rFonts w:eastAsia="Calibri" w:cs="Arial" w:ascii="Arial" w:hAnsi="Arial"/>
          <w:color w:val="000000" w:themeColor="text1"/>
          <w:kern w:val="2"/>
          <w:sz w:val="26"/>
          <w:szCs w:val="26"/>
          <w:lang w:val="es-ES" w:eastAsia="zh-CN" w:bidi="ar-SA"/>
        </w:rPr>
        <w:t>exposición</w:t>
      </w:r>
      <w:r>
        <w:rPr>
          <w:rFonts w:eastAsia="Calibri" w:cs="Arial" w:ascii="Arial" w:hAnsi="Arial"/>
          <w:color w:val="000000" w:themeColor="text1"/>
          <w:sz w:val="26"/>
          <w:szCs w:val="26"/>
        </w:rPr>
        <w:t xml:space="preserve"> constituye la actividad final del proceso de trabajo en el que se </w:t>
      </w:r>
      <w:r>
        <w:rPr>
          <w:rFonts w:eastAsia="Calibri" w:cs="Arial" w:ascii="Arial" w:hAnsi="Arial"/>
          <w:color w:val="000000" w:themeColor="text1"/>
          <w:kern w:val="2"/>
          <w:sz w:val="26"/>
          <w:szCs w:val="26"/>
          <w:lang w:val="es-ES" w:eastAsia="zh-CN" w:bidi="ar-SA"/>
        </w:rPr>
        <w:t xml:space="preserve">ha implicado </w:t>
      </w:r>
      <w:r>
        <w:rPr>
          <w:rFonts w:eastAsia="Calibri" w:cs="Arial" w:ascii="Arial" w:hAnsi="Arial"/>
          <w:color w:val="000000" w:themeColor="text1"/>
          <w:sz w:val="26"/>
          <w:szCs w:val="26"/>
        </w:rPr>
        <w:t xml:space="preserve">un grupo clase de cada centro educativo </w:t>
      </w:r>
      <w:r>
        <w:rPr>
          <w:rFonts w:eastAsia="Calibri" w:cs="Arial" w:ascii="Arial" w:hAnsi="Arial"/>
          <w:color w:val="000000" w:themeColor="text1"/>
          <w:kern w:val="2"/>
          <w:sz w:val="26"/>
          <w:szCs w:val="26"/>
          <w:lang w:val="es-ES" w:eastAsia="zh-CN" w:bidi="ar-SA"/>
        </w:rPr>
        <w:t>junto al profesorado que ha dinamizado</w:t>
      </w:r>
      <w:r>
        <w:rPr>
          <w:rFonts w:eastAsia="Calibri" w:cs="Arial" w:ascii="Arial" w:hAnsi="Arial"/>
          <w:color w:val="000000" w:themeColor="text1"/>
          <w:sz w:val="26"/>
          <w:szCs w:val="26"/>
        </w:rPr>
        <w:t xml:space="preserve"> el proceso de investigación y reflexión previo, con la finalidad de crear un producto final gráfico </w:t>
      </w:r>
      <w:r>
        <w:rPr>
          <w:rFonts w:eastAsia="Calibri" w:cs="Arial" w:ascii="Arial" w:hAnsi="Arial"/>
          <w:color w:val="000000" w:themeColor="text1"/>
          <w:kern w:val="2"/>
          <w:sz w:val="26"/>
          <w:szCs w:val="26"/>
          <w:lang w:val="es-ES" w:eastAsia="zh-CN" w:bidi="ar-SA"/>
        </w:rPr>
        <w:t xml:space="preserve">que conforma la exposición final.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 w:themeColor="text1"/>
          <w:sz w:val="26"/>
          <w:szCs w:val="26"/>
        </w:rPr>
      </w:pPr>
      <w:r>
        <w:rPr>
          <w:rFonts w:eastAsia="Calibri" w:cs="Arial" w:ascii="Arial" w:hAnsi="Arial"/>
          <w:color w:val="000000" w:themeColor="text1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color w:val="000000" w:themeColor="text1"/>
          <w:sz w:val="26"/>
          <w:szCs w:val="26"/>
        </w:rPr>
        <w:t xml:space="preserve">La delegada Ana Hérica Ramos destaca que “pretendemos que el alumnado de diferentes centros comparta sus aportaciones y reflexiones </w:t>
      </w:r>
      <w:r>
        <w:rPr>
          <w:rFonts w:eastAsia="Calibri" w:cs="Arial" w:ascii="Arial" w:hAnsi="Arial"/>
          <w:color w:val="000000" w:themeColor="text1"/>
          <w:kern w:val="2"/>
          <w:sz w:val="26"/>
          <w:szCs w:val="26"/>
          <w:lang w:val="es-ES" w:eastAsia="zh-CN" w:bidi="ar-SA"/>
        </w:rPr>
        <w:t>en</w:t>
      </w:r>
      <w:r>
        <w:rPr>
          <w:rFonts w:eastAsia="Calibri" w:cs="Arial" w:ascii="Arial" w:hAnsi="Arial"/>
          <w:color w:val="000000" w:themeColor="text1"/>
          <w:sz w:val="26"/>
          <w:szCs w:val="26"/>
        </w:rPr>
        <w:t xml:space="preserve"> la lucha contra la violencia de género, y que sumen su voz para construir una sociedad más libre y más justa, en la que cada persona tenga instrumentos para comprometerse activamente a favor de la igualdad en cada faceta de su vida”. Juan Antonio Cabello, por su parte, ha valorado el trabajo desarrollado destacando que “hemos tenido la oportunidad de colaborar a través de la Oferta Educativa Municipal, en una labor marcada por la lucha contra la violencia de género. Nos parecen absolutamente necesarias estas iniciativas, y fomentar en el alumnado esa reflexión para que sepan reconocer esas relaciones de control desde el primer indicio”.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color w:val="auto"/>
          <w:kern w:val="2"/>
          <w:sz w:val="26"/>
          <w:szCs w:val="26"/>
          <w:lang w:val="es-ES" w:eastAsia="zh-CN" w:bidi="ar-SA"/>
        </w:rPr>
        <w:t xml:space="preserve">Los catorce proyectos que conforman la exposición son </w:t>
      </w:r>
      <w:r>
        <w:rPr>
          <w:rFonts w:cs="Arial" w:ascii="Arial" w:hAnsi="Arial"/>
          <w:sz w:val="26"/>
          <w:szCs w:val="26"/>
        </w:rPr>
        <w:t xml:space="preserve"> ‘Pe</w:t>
      </w:r>
      <w:r>
        <w:rPr>
          <w:rFonts w:ascii="Arial" w:hAnsi="Arial"/>
          <w:sz w:val="26"/>
          <w:szCs w:val="26"/>
        </w:rPr>
        <w:t xml:space="preserve">rspectivas Mujer. Una mirada en el Arte’, del IES Sofía; ‘Quiérete’, de 2º ESO IES Asta Regia; ‘Mujer, ecología y ecofeminismo’, del Feminario IES Santa Isabel de Hungría; ‘¿Cómo lo ves? Buen-trato, mal-trato’, del IES Santa Isabel de Hungría; ‘Espejismo’, </w:t>
      </w:r>
      <w:r>
        <w:rPr>
          <w:rFonts w:eastAsia="Times New Roman" w:cs="Tahoma" w:ascii="Arial" w:hAnsi="Arial"/>
          <w:color w:val="auto"/>
          <w:kern w:val="2"/>
          <w:sz w:val="26"/>
          <w:szCs w:val="26"/>
          <w:lang w:val="es-ES" w:eastAsia="zh-CN" w:bidi="ar-SA"/>
        </w:rPr>
        <w:t>del</w:t>
      </w:r>
      <w:r>
        <w:rPr>
          <w:rFonts w:ascii="Arial" w:hAnsi="Arial"/>
          <w:sz w:val="26"/>
          <w:szCs w:val="26"/>
        </w:rPr>
        <w:t xml:space="preserve"> IES José Manuel Caballero Bonald; ‘25N: Nada que celebrar’, </w:t>
      </w:r>
      <w:r>
        <w:rPr>
          <w:rFonts w:eastAsia="Times New Roman" w:cs="Tahoma" w:ascii="Arial" w:hAnsi="Arial"/>
          <w:color w:val="auto"/>
          <w:kern w:val="2"/>
          <w:sz w:val="26"/>
          <w:szCs w:val="26"/>
          <w:lang w:val="es-ES" w:eastAsia="zh-CN" w:bidi="ar-SA"/>
        </w:rPr>
        <w:t>del</w:t>
      </w:r>
      <w:r>
        <w:rPr>
          <w:rFonts w:ascii="Arial" w:hAnsi="Arial"/>
          <w:sz w:val="26"/>
          <w:szCs w:val="26"/>
        </w:rPr>
        <w:t xml:space="preserve"> IES Almunia; ‘Damnatio Memoriae’, de la Escuela de Arte de Jerez; ‘Despliega y Reivindica’, de la Escuela de Arte de Jerez; ‘¡Ni mijita! Las vecinas de la Zona Sur contra la violencia de género’, del IES Francisco Romero Vargas; ‘Contra la violencia de género, el Respeto y la Igualdad’, del IES La Granja; "Lólate conmigo", del IES Lola Flores; ‘La mujer en la época de Alfonso X El Sabio’, del IES Padre Luis Coloma; ‘Pero ella nunca se dio por vencida’, del Seritium; y ‘Una relación de pareja saludable’, del IES Seritium.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cs="Arial"/>
          <w:b/>
          <w:b/>
          <w:sz w:val="24"/>
          <w:szCs w:val="24"/>
          <w:u w:val="single"/>
        </w:rPr>
      </w:pPr>
      <w:r>
        <w:rPr>
          <w:rFonts w:cs="Arial" w:ascii="Century Gothic" w:hAnsi="Century Gothic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</w:rPr>
      </w:r>
    </w:p>
    <w:tbl>
      <w:tblPr>
        <w:tblW w:w="768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89"/>
      </w:tblGrid>
      <w:tr>
        <w:trPr/>
        <w:tc>
          <w:tcPr>
            <w:tcW w:w="76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hyperlink r:id="rId2">
              <w:r>
                <w:rPr>
                  <w:rStyle w:val="EnlacedeInternet"/>
                  <w:rFonts w:cs="Arial" w:ascii="Arial" w:hAnsi="Arial"/>
                  <w:b w:val="false"/>
                  <w:bCs w:val="false"/>
                  <w:i/>
                  <w:iCs/>
                  <w:color w:val="000000"/>
                  <w:sz w:val="22"/>
                  <w:szCs w:val="22"/>
                  <w:u w:val="none"/>
                </w:rPr>
                <w:t>Se adjunta fotografía</w:t>
              </w:r>
            </w:hyperlink>
          </w:p>
        </w:tc>
      </w:tr>
    </w:tbl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Trebuchet MS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  <w:highlight w:val="lightGray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fileadmin/Documentos/Participacion_Ciudadana/Cooperacion/ComercioJusto/solicitud_establecimientos_01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LibreOffice/7.0.6.2$Windows_X86_64 LibreOffice_project/144abb84a525d8e30c9dbbefa69cbbf2d8d4ae3b</Application>
  <AppVersion>15.0000</AppVersion>
  <Pages>2</Pages>
  <Words>630</Words>
  <Characters>3173</Characters>
  <CharactersWithSpaces>3797</CharactersWithSpaces>
  <Paragraphs>10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2021-11-24T10:37:00Z</dcterms:created>
  <dc:creator>ADELIFL</dc:creator>
  <dc:description/>
  <dc:language>es-ES</dc:language>
  <cp:lastModifiedBy/>
  <cp:lastPrinted>1995-11-21T16:41:00Z</cp:lastPrinted>
  <dcterms:modified xsi:type="dcterms:W3CDTF">2021-12-02T14:53:05Z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