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Cuerpodetexto"/>
        <w:spacing w:lineRule="auto" w:line="240" w:before="0" w:after="0"/>
        <w:rPr/>
      </w:pPr>
      <w:r>
        <w:rPr>
          <w:rFonts w:cs="Trebuchet MS" w:ascii="Arial" w:hAnsi="Arial"/>
          <w:b/>
          <w:bCs/>
          <w:color w:val="000000"/>
          <w:sz w:val="36"/>
          <w:szCs w:val="36"/>
        </w:rPr>
        <w:t>El Consorcio aprueba una inversión de 3.750.000 euros que dará solución a los cortes de suministro de agua de Cuartillos</w:t>
      </w:r>
    </w:p>
    <w:p>
      <w:pPr>
        <w:pStyle w:val="Cuerpodetexto"/>
        <w:spacing w:lineRule="auto" w:line="240" w:before="0" w:after="0"/>
        <w:rPr>
          <w:sz w:val="22"/>
        </w:rPr>
      </w:pPr>
      <w:r>
        <w:rPr>
          <w:sz w:val="22"/>
        </w:rPr>
      </w:r>
    </w:p>
    <w:p>
      <w:pPr>
        <w:pStyle w:val="Cuerpodetexto"/>
        <w:spacing w:lineRule="auto" w:line="240" w:before="0" w:after="0"/>
        <w:rPr/>
      </w:pPr>
      <w:r>
        <w:rPr>
          <w:rFonts w:cs="Trebuchet MS" w:ascii="Arial" w:hAnsi="Arial"/>
          <w:color w:val="000000"/>
          <w:sz w:val="32"/>
          <w:szCs w:val="32"/>
        </w:rPr>
        <w:t>J</w:t>
      </w:r>
      <w:r>
        <w:rPr>
          <w:rStyle w:val="Destaquemayor"/>
          <w:rFonts w:cs="Arial" w:ascii="Arial" w:hAnsi="Arial"/>
          <w:b w:val="false"/>
          <w:color w:val="000000"/>
          <w:sz w:val="32"/>
          <w:szCs w:val="24"/>
        </w:rPr>
        <w:t>osé Antonio Díaz y  Jorge Rodríguez valoran que esta inversión es una noticia muy positiva porque además permitirá mejorar la calidad del agua en Jerez</w:t>
      </w:r>
    </w:p>
    <w:p>
      <w:pPr>
        <w:pStyle w:val="Cuerpodetexto"/>
        <w:spacing w:lineRule="auto" w:line="240" w:before="0" w:after="0"/>
        <w:rPr>
          <w:rFonts w:ascii="Arial" w:hAnsi="Arial" w:cs="Trebuchet MS"/>
          <w:b/>
          <w:b/>
          <w:bCs/>
          <w:color w:val="000000"/>
          <w:sz w:val="32"/>
          <w:szCs w:val="32"/>
        </w:rPr>
      </w:pPr>
      <w:r>
        <w:rPr>
          <w:rFonts w:cs="Trebuchet MS" w:ascii="Arial" w:hAnsi="Arial"/>
          <w:b/>
          <w:bCs/>
          <w:color w:val="000000"/>
          <w:sz w:val="32"/>
          <w:szCs w:val="32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/>
      </w:pPr>
      <w:r>
        <w:rPr>
          <w:rFonts w:cs="Arial" w:ascii="Arial" w:hAnsi="Arial"/>
          <w:b/>
          <w:bCs/>
          <w:szCs w:val="24"/>
        </w:rPr>
        <w:t>22 diciembre de 2021</w:t>
      </w:r>
      <w:r>
        <w:rPr>
          <w:rFonts w:cs="Arial" w:ascii="Arial" w:hAnsi="Arial"/>
          <w:szCs w:val="24"/>
        </w:rPr>
        <w:t xml:space="preserve"> La Asamblea General del Consorcio de Aguas de la Zona Gaditana, que se ha reunido hoy en Jerez, ha aprobado  una inversión de 3.750.000 euros destinada a dotar a la zona de una infraestructura con la que será posible mejorar la calidad del agua de Jerez y sobre todo, dar una solución a los cortes de suministro que padece la barriada rural de Cuartillos.</w:t>
      </w:r>
    </w:p>
    <w:p>
      <w:pPr>
        <w:pStyle w:val="Normal"/>
        <w:tabs>
          <w:tab w:val="clear" w:pos="720"/>
          <w:tab w:val="left" w:pos="663" w:leader="none"/>
        </w:tabs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/>
      </w:pPr>
      <w:r>
        <w:rPr>
          <w:rFonts w:cs="Arial" w:ascii="Arial" w:hAnsi="Arial"/>
          <w:szCs w:val="24"/>
        </w:rPr>
        <w:t xml:space="preserve">Así lo han confirmado el teniente de alcaldesa de </w:t>
      </w:r>
      <w:r>
        <w:rPr>
          <w:rStyle w:val="Destaquemayor"/>
          <w:rFonts w:cs="Arial" w:ascii="Arial" w:hAnsi="Arial"/>
          <w:b w:val="false"/>
          <w:szCs w:val="24"/>
        </w:rPr>
        <w:t>Urbanismo, Infraestructuras y Medio Ambiente, José Antonio Díaz, que ha asistido a esta asamblea en representación del Ayuntamiento de Jerez y el presidente del Consorcio de Aguas de la Zona Gaditana, Jorge Rodríguez.</w:t>
      </w:r>
    </w:p>
    <w:p>
      <w:pPr>
        <w:pStyle w:val="Normal"/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/>
      </w:pPr>
      <w:r>
        <w:rPr>
          <w:rStyle w:val="Destaquemayor"/>
          <w:rFonts w:cs="Arial" w:ascii="Arial" w:hAnsi="Arial"/>
          <w:b w:val="false"/>
          <w:szCs w:val="24"/>
        </w:rPr>
        <w:t>El teniente de alcaldesa ha dado las gracias al Consorcio de Aguas de la Zona Gaditana “por haber considerado llevar a cabo esta inversión presentándola a la asamblea, que supone una buena noticia para Jerez y sobre todo para Cuartillos, porque con ella se evitarán las interrupciones en el suministro de agua potable que viene registrando”.</w:t>
      </w:r>
    </w:p>
    <w:p>
      <w:pPr>
        <w:pStyle w:val="Normal"/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/>
      </w:pPr>
      <w:r>
        <w:rPr>
          <w:rStyle w:val="Destaquemayor"/>
          <w:rFonts w:cs="Arial" w:ascii="Arial" w:hAnsi="Arial"/>
          <w:b w:val="false"/>
          <w:szCs w:val="24"/>
        </w:rPr>
        <w:t xml:space="preserve">Por su parte, Jorge Rodríguez ha explicado que “esta iniciativa representa el 60% de las inversiones totales que va a llevar a cabo el Consorcio y que supone una mejora notable no sólo para garantizar el suministro de Cuartillos, sino para toda la ciudad de Jerez. </w:t>
      </w:r>
    </w:p>
    <w:p>
      <w:pPr>
        <w:pStyle w:val="Normal"/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/>
      </w:pPr>
      <w:r>
        <w:rPr>
          <w:rStyle w:val="Destaquemayor"/>
          <w:rFonts w:cs="Arial" w:ascii="Arial" w:hAnsi="Arial"/>
          <w:b w:val="false"/>
          <w:szCs w:val="24"/>
        </w:rPr>
        <w:t xml:space="preserve">Esta nueva infraestructura permitirá al Consorcio poder regular los productos químicos de tratamiento del agua y dar estabilidad y calidad en el suministro. Además, la inversión conlleva una nueva línea de tratamiento de lodos residuales que supondrá una mejora </w:t>
      </w:r>
      <w:r>
        <w:rPr>
          <w:rStyle w:val="Destaquemayor"/>
          <w:rFonts w:cs="Arial" w:ascii="Arial" w:hAnsi="Arial"/>
          <w:b w:val="false"/>
          <w:szCs w:val="24"/>
        </w:rPr>
        <w:t>medioambiental</w:t>
      </w:r>
      <w:r>
        <w:rPr>
          <w:rStyle w:val="Destaquemayor"/>
          <w:rFonts w:cs="Arial" w:ascii="Arial" w:hAnsi="Arial"/>
          <w:b w:val="false"/>
          <w:szCs w:val="24"/>
        </w:rPr>
        <w:t xml:space="preserve"> demandada en la zona.</w:t>
      </w:r>
    </w:p>
    <w:p>
      <w:pPr>
        <w:pStyle w:val="Normal"/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/>
      </w:pPr>
      <w:r>
        <w:rPr>
          <w:rStyle w:val="Destaquemayor"/>
          <w:rFonts w:cs="Arial" w:ascii="Arial" w:hAnsi="Arial"/>
          <w:b w:val="false"/>
          <w:szCs w:val="24"/>
        </w:rPr>
        <w:t>Por todo ello, José Antonio Díaz y Jorge Rodríguez han concluido que esta inversión es “una noticia muy positiva para Jerez”.</w:t>
      </w:r>
    </w:p>
    <w:p>
      <w:pPr>
        <w:pStyle w:val="Normal"/>
        <w:jc w:val="both"/>
        <w:rPr>
          <w:rFonts w:ascii="Arial" w:hAnsi="Arial" w:cs="Arial"/>
          <w:color w:val="000000"/>
          <w:szCs w:val="24"/>
        </w:rPr>
      </w:pPr>
      <w:r>
        <w:rPr>
          <w:rFonts w:cs="Arial" w:ascii="Arial" w:hAnsi="Arial"/>
          <w:color w:val="000000"/>
          <w:szCs w:val="24"/>
        </w:rPr>
      </w:r>
    </w:p>
    <w:tbl>
      <w:tblPr>
        <w:tblW w:w="7663" w:type="dxa"/>
        <w:jc w:val="left"/>
        <w:tblInd w:w="55" w:type="dxa"/>
        <w:tblCellMar>
          <w:top w:w="55" w:type="dxa"/>
          <w:left w:w="51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63"/>
      </w:tblGrid>
      <w:tr>
        <w:trPr/>
        <w:tc>
          <w:tcPr>
            <w:tcW w:w="76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nidodelatabla"/>
              <w:widowControl w:val="false"/>
              <w:jc w:val="both"/>
              <w:rPr/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  <w:t>Se adjunta fotografía</w:t>
            </w:r>
            <w:bookmarkStart w:id="0" w:name="_GoBack1"/>
            <w:bookmarkEnd w:id="0"/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  <w:t xml:space="preserve"> y enlaces de audio:</w:t>
            </w:r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</w:r>
          </w:p>
          <w:p>
            <w:pPr>
              <w:pStyle w:val="Ttulo4"/>
              <w:widowControl w:val="false"/>
              <w:numPr>
                <w:ilvl w:val="3"/>
                <w:numId w:val="2"/>
              </w:numPr>
              <w:tabs>
                <w:tab w:val="clear" w:pos="720"/>
                <w:tab w:val="left" w:pos="663" w:leader="none"/>
              </w:tabs>
              <w:jc w:val="both"/>
              <w:rPr/>
            </w:pPr>
            <w:hyperlink r:id="rId2">
              <w:r>
                <w:rPr>
                  <w:rStyle w:val="Destaquemayor"/>
                  <w:rFonts w:cs="Arial" w:ascii="Arial" w:hAnsi="Arial"/>
                  <w:b w:val="false"/>
                  <w:i/>
                  <w:iCs/>
                  <w:color w:val="000000" w:themeColor="text1"/>
                  <w:szCs w:val="24"/>
                </w:rPr>
                <w:t>https://ssweb.seap.minhap.es/almacen/descarga/envio/7560ead295b0e2445f0ab62069560e7cb72a9898</w:t>
              </w:r>
            </w:hyperlink>
          </w:p>
          <w:p>
            <w:pPr>
              <w:pStyle w:val="Contenidodelatabla"/>
              <w:widowControl w:val="false"/>
              <w:jc w:val="both"/>
              <w:rPr/>
            </w:pPr>
            <w:r>
              <w:rPr/>
            </w:r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</w:r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</w:r>
          </w:p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color w:val="000000" w:themeColor="text1"/>
                <w:szCs w:val="24"/>
              </w:rPr>
            </w:pPr>
            <w:r>
              <w:rPr>
                <w:rFonts w:cs="Arial" w:ascii="Arial" w:hAnsi="Arial"/>
                <w:i/>
                <w:iCs/>
                <w:color w:val="000000" w:themeColor="text1"/>
                <w:szCs w:val="24"/>
              </w:rPr>
            </w:r>
          </w:p>
        </w:tc>
      </w:tr>
    </w:tbl>
    <w:p>
      <w:pPr>
        <w:pStyle w:val="Normal"/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</w:p>
    <w:p>
      <w:pPr>
        <w:pStyle w:val="Ttulo4"/>
        <w:numPr>
          <w:ilvl w:val="3"/>
          <w:numId w:val="2"/>
        </w:numPr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>
          <w:rStyle w:val="Destaquemayor"/>
          <w:rFonts w:ascii="Arial" w:hAnsi="Arial" w:cs="Arial"/>
          <w:b w:val="false"/>
          <w:b w:val="false"/>
          <w:szCs w:val="24"/>
        </w:rPr>
      </w:pPr>
      <w:r>
        <w:rPr>
          <w:rFonts w:cs="Arial" w:ascii="Arial" w:hAnsi="Arial"/>
          <w:b w:val="false"/>
          <w:szCs w:val="24"/>
        </w:rPr>
      </w:r>
      <w:bookmarkStart w:id="1" w:name="page3R_mcid23"/>
      <w:bookmarkStart w:id="2" w:name="page3R_mcid22"/>
      <w:bookmarkStart w:id="3" w:name="page3R_mcid23"/>
      <w:bookmarkStart w:id="4" w:name="page3R_mcid22"/>
      <w:bookmarkEnd w:id="3"/>
      <w:bookmarkEnd w:id="4"/>
    </w:p>
    <w:p>
      <w:pPr>
        <w:pStyle w:val="Normal"/>
        <w:tabs>
          <w:tab w:val="clear" w:pos="720"/>
          <w:tab w:val="left" w:pos="663" w:leader="none"/>
        </w:tabs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tabs>
          <w:tab w:val="clear" w:pos="720"/>
          <w:tab w:val="left" w:pos="663" w:leader="none"/>
        </w:tabs>
        <w:jc w:val="both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val="x-none" w:eastAsia="x-none"/>
      </w:rPr>
    </w:pPr>
    <w:r>
      <w:rPr>
        <w:lang w:val="x-none" w:eastAsia="x-no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sz w:val="26"/>
        <w:szCs w:val="26"/>
        <w:u w:val="single"/>
        <w:lang w:val="x-none" w:eastAsia="x-none"/>
      </w:rPr>
    </w:pPr>
    <w:r>
      <w:rPr>
        <w:sz w:val="26"/>
        <w:szCs w:val="26"/>
        <w:u w:val="single"/>
        <w:lang w:val="x-none" w:eastAsia="x-none"/>
      </w:rPr>
    </w:r>
  </w:p>
  <w:p>
    <w:pPr>
      <w:pStyle w:val="Cabecera"/>
      <w:rPr>
        <w:sz w:val="26"/>
        <w:szCs w:val="26"/>
        <w:lang w:val="x-none" w:eastAsia="x-none"/>
      </w:rPr>
    </w:pPr>
    <w:r>
      <w:rPr>
        <w:sz w:val="26"/>
        <w:szCs w:val="26"/>
        <w:lang w:val="x-none" w:eastAsia="x-none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02665" cy="9175115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049" t="-1263" r="-10049" b="-1263"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917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1" allowOverlap="1" relativeHeight="5">
          <wp:simplePos x="0" y="0"/>
          <wp:positionH relativeFrom="column">
            <wp:posOffset>-1388110</wp:posOffset>
          </wp:positionH>
          <wp:positionV relativeFrom="paragraph">
            <wp:posOffset>7955915</wp:posOffset>
          </wp:positionV>
          <wp:extent cx="627380" cy="864870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9120" t="-4289" r="-9120" b="-4289"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64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ahoma" w:hAnsi="Tahoma" w:eastAsia="Times New Roman" w:cs="Tahoma"/>
      <w:color w:val="auto"/>
      <w:kern w:val="2"/>
      <w:sz w:val="24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next w:val="Cuerpodetexto"/>
    <w:qFormat/>
    <w:pPr>
      <w:widowControl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next w:val="Cuerpodetexto"/>
    <w:qFormat/>
    <w:pPr>
      <w:numPr>
        <w:ilvl w:val="2"/>
        <w:numId w:val="1"/>
      </w:num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next w:val="Cuerpodetexto"/>
    <w:qFormat/>
    <w:pPr>
      <w:widowControl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4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Fuentedeprrafopredeter1" w:customStyle="1">
    <w:name w:val="Fuente de párrafo predeter.1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s-ES_tradnl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basedOn w:val="DefaultParagraphFont"/>
    <w:uiPriority w:val="99"/>
    <w:semiHidden/>
    <w:unhideWhenUsed/>
    <w:rsid w:val="00f879eb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nlacedeInternetvisitado" w:customStyle="1">
    <w:name w:val="Enlace de Internet visitado"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" w:customStyle="1">
    <w:name w:val="Mención sin resolver"/>
    <w:qFormat/>
    <w:rPr>
      <w:color w:val="605E5C"/>
      <w:highlight w:val="lightGray"/>
    </w:rPr>
  </w:style>
  <w:style w:type="character" w:styleId="S7" w:customStyle="1">
    <w:name w:val="s7"/>
    <w:qFormat/>
    <w:rPr/>
  </w:style>
  <w:style w:type="character" w:styleId="Muydestacado" w:customStyle="1">
    <w:name w:val="Muy destacado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Fuentedeprrafopredeter5" w:customStyle="1">
    <w:name w:val="Fuente de párrafo predeter.5"/>
    <w:qFormat/>
    <w:rPr/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Hipervnculo1" w:customStyle="1">
    <w:name w:val="Hipervínculo1"/>
    <w:qFormat/>
    <w:rPr>
      <w:color w:val="0000FF"/>
      <w:u w:val="single"/>
    </w:rPr>
  </w:style>
  <w:style w:type="character" w:styleId="Ninguno" w:customStyle="1">
    <w:name w:val="Ninguno"/>
    <w:qFormat/>
    <w:rPr/>
  </w:style>
  <w:style w:type="character" w:styleId="Hyperlink1" w:customStyle="1">
    <w:name w:val="Hyperlink.1"/>
    <w:qFormat/>
    <w:rPr>
      <w:color w:val="0000FF"/>
      <w:u w:val="single"/>
    </w:rPr>
  </w:style>
  <w:style w:type="character" w:styleId="Fuentedeprrafopredeter8" w:customStyle="1">
    <w:name w:val="Fuente de párrafo predeter.8"/>
    <w:qFormat/>
    <w:rPr/>
  </w:style>
  <w:style w:type="character" w:styleId="Destaquemayor" w:customStyle="1">
    <w:name w:val="Destaque mayor"/>
    <w:qFormat/>
    <w:rPr>
      <w:b/>
      <w:bCs/>
    </w:rPr>
  </w:style>
  <w:style w:type="character" w:styleId="ListLabel1">
    <w:name w:val="ListLabel 1"/>
    <w:qFormat/>
    <w:rPr>
      <w:rFonts w:ascii="Arial" w:hAnsi="Arial" w:cs="Arial"/>
      <w:i/>
      <w:iCs/>
      <w:szCs w:val="24"/>
    </w:rPr>
  </w:style>
  <w:style w:type="character" w:styleId="ListLabel2">
    <w:name w:val="ListLabel 2"/>
    <w:qFormat/>
    <w:rPr>
      <w:rFonts w:ascii="Arial" w:hAnsi="Arial" w:cs="Arial"/>
      <w:b w:val="false"/>
      <w:i/>
      <w:iCs/>
      <w:color w:val="000000" w:themeColor="text1"/>
      <w:szCs w:val="24"/>
    </w:rPr>
  </w:style>
  <w:style w:type="paragraph" w:styleId="Ttulo" w:customStyle="1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pacing w:before="120" w:after="120"/>
    </w:pPr>
    <w:rPr>
      <w:rFonts w:cs="Arial"/>
      <w:i/>
      <w:iCs/>
    </w:rPr>
  </w:style>
  <w:style w:type="paragraph" w:styleId="Encabezado1" w:customStyle="1">
    <w:name w:val="Encabezad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6" w:customStyle="1">
    <w:name w:val="Título6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5" w:customStyle="1">
    <w:name w:val="Descripción5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41" w:customStyle="1">
    <w:name w:val="Título4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" w:customStyle="1">
    <w:name w:val="Epígrafe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s-ES_tradnl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ascii="Times New Roman" w:hAnsi="Times New Roman" w:eastAsia="Calibri" w:cs="Times New Roman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s-ES_tradnl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val="es-ES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jc w:val="left"/>
    </w:pPr>
    <w:rPr>
      <w:rFonts w:ascii="Arial" w:hAnsi="Arial" w:eastAsia="Times New Roman" w:cs="Arial"/>
      <w:color w:val="000000"/>
      <w:kern w:val="2"/>
      <w:sz w:val="24"/>
      <w:szCs w:val="24"/>
      <w:lang w:val="es-ES" w:eastAsia="zh-CN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jc w:val="both"/>
    </w:pPr>
    <w:rPr>
      <w:rFonts w:ascii="Calibri" w:hAnsi="Calibri" w:eastAsia="Calibri" w:cs="Calibri"/>
      <w:color w:val="auto"/>
      <w:kern w:val="2"/>
      <w:sz w:val="24"/>
      <w:szCs w:val="24"/>
      <w:lang w:val="es-ES" w:eastAsia="zh-CN" w:bidi="hi-IN"/>
    </w:rPr>
  </w:style>
  <w:style w:type="paragraph" w:styleId="CuerpoA" w:customStyle="1">
    <w:name w:val="Cuerpo A"/>
    <w:qFormat/>
    <w:pPr>
      <w:widowControl/>
      <w:suppressAutoHyphens w:val="true"/>
      <w:bidi w:val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val="es-ES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Calibri" w:cs="Calibri"/>
      <w:color w:val="auto"/>
      <w:kern w:val="2"/>
      <w:sz w:val="22"/>
      <w:szCs w:val="22"/>
      <w:lang w:val="es-ES" w:eastAsia="zh-CN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next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oromisin" w:customStyle="1">
    <w:name w:val="Por omisión"/>
    <w:qFormat/>
    <w:pPr>
      <w:widowControl/>
      <w:suppressAutoHyphens w:val="true"/>
      <w:bidi w:val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val="en-US" w:eastAsia="zh-CN" w:bidi="hi-IN"/>
    </w:rPr>
  </w:style>
  <w:style w:type="paragraph" w:styleId="Epgrafe1" w:customStyle="1">
    <w:name w:val="Epígrafe1"/>
    <w:basedOn w:val="Normal"/>
    <w:qFormat/>
    <w:pPr>
      <w:spacing w:before="120" w:after="120"/>
    </w:pPr>
    <w:rPr>
      <w:rFonts w:cs="Mangal"/>
      <w:i/>
      <w:iCs/>
    </w:rPr>
  </w:style>
  <w:style w:type="paragraph" w:styleId="Epgrafe2" w:customStyle="1">
    <w:name w:val="Epígrafe2"/>
    <w:basedOn w:val="Normal"/>
    <w:qFormat/>
    <w:pPr>
      <w:spacing w:before="120" w:after="120"/>
    </w:pPr>
    <w:rPr>
      <w:rFonts w:cs="Mangal"/>
      <w:i/>
      <w:iCs/>
    </w:rPr>
  </w:style>
  <w:style w:type="paragraph" w:styleId="Encabezado3" w:customStyle="1">
    <w:name w:val="Encabezado3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Epgrafe3" w:customStyle="1">
    <w:name w:val="Epígrafe3"/>
    <w:basedOn w:val="Normal"/>
    <w:qFormat/>
    <w:pPr>
      <w:spacing w:before="120" w:after="120"/>
    </w:pPr>
    <w:rPr>
      <w:rFonts w:cs="Mangal"/>
      <w:i/>
      <w:iCs/>
    </w:rPr>
  </w:style>
  <w:style w:type="paragraph" w:styleId="Epgrafe4" w:customStyle="1">
    <w:name w:val="Epígrafe4"/>
    <w:basedOn w:val="Normal"/>
    <w:qFormat/>
    <w:pPr>
      <w:spacing w:before="120" w:after="120"/>
    </w:pPr>
    <w:rPr>
      <w:rFonts w:cs="Mangal"/>
      <w:i/>
      <w:iCs/>
    </w:rPr>
  </w:style>
  <w:style w:type="paragraph" w:styleId="Encabezado4" w:customStyle="1">
    <w:name w:val="Encabezado4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sweb.seap.minhap.es/almacen/descarga/envio/7560ead295b0e2445f0ab62069560e7cb72a9898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Application>LibreOffice/6.2.7.1$Windows_X86_64 LibreOffice_project/23edc44b61b830b7d749943e020e96f5a7df63bf</Application>
  <Pages>2</Pages>
  <Words>330</Words>
  <Characters>1754</Characters>
  <CharactersWithSpaces>2077</CharactersWithSpaces>
  <Paragraphs>10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2021-12-17T12:47:00Z</dcterms:created>
  <dc:creator>ADELIFL</dc:creator>
  <dc:description/>
  <dc:language>es-ES</dc:language>
  <cp:lastModifiedBy/>
  <dcterms:modified xsi:type="dcterms:W3CDTF">2021-12-22T13:46:16Z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Aytojerez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