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sdt>
      <w:sdtPr>
        <w:docPartObj>
          <w:docPartGallery w:val="Cover Pages"/>
          <w:docPartUnique w:val="true"/>
        </w:docPartObj>
        <w:id w:val="1210773472"/>
      </w:sdtPr>
      <w:sdtContent>
        <w:p>
          <w:pPr>
            <w:pStyle w:val="Normal"/>
            <w:rPr/>
          </w:pPr>
          <w:r>
            <w:rPr/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-1072515</wp:posOffset>
                </wp:positionH>
                <wp:positionV relativeFrom="paragraph">
                  <wp:posOffset>-762635</wp:posOffset>
                </wp:positionV>
                <wp:extent cx="7536180" cy="10596245"/>
                <wp:effectExtent l="0" t="0" r="0" b="0"/>
                <wp:wrapNone/>
                <wp:docPr id="1" name="Imagen 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36180" cy="105962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>
          <w:pPr>
            <w:pStyle w:val="Normal"/>
            <w:spacing w:lineRule="auto" w:line="240" w:before="0" w:after="0"/>
            <w:rPr/>
          </w:pPr>
          <w:r>
            <w:rPr/>
          </w:r>
          <w:r>
            <w:br w:type="page"/>
          </w:r>
        </w:p>
      </w:sdtContent>
    </w:sdt>
    <w:p>
      <w:pPr>
        <w:pStyle w:val="Normal"/>
        <w:shd w:val="clear" w:color="auto" w:fill="FFFFFF"/>
        <w:spacing w:lineRule="auto" w:line="240" w:before="0" w:after="23"/>
        <w:jc w:val="both"/>
        <w:rPr/>
      </w:pPr>
      <w:r>
        <w:rPr>
          <w:rFonts w:eastAsia="Times New Roman" w:cs="Times New Roman" w:ascii="Lithos Pro Regular" w:hAnsi="Lithos Pro Regular"/>
          <w:bCs/>
          <w:color w:val="333333"/>
          <w:sz w:val="32"/>
          <w:szCs w:val="32"/>
          <w:lang w:eastAsia="es-ES"/>
        </w:rPr>
        <w:t>1.- Presentación.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Lithos Pro Regular" w:hAnsi="Lithos Pro Regular" w:eastAsia="Times New Roman" w:cs="Times New Roman"/>
          <w:bCs/>
          <w:color w:val="333333"/>
          <w:sz w:val="32"/>
          <w:szCs w:val="32"/>
          <w:lang w:eastAsia="es-ES"/>
        </w:rPr>
      </w:pPr>
      <w:r>
        <w:rPr>
          <w:rFonts w:eastAsia="Times New Roman" w:cs="Times New Roman" w:ascii="Lithos Pro Regular" w:hAnsi="Lithos Pro Regular"/>
          <w:bCs/>
          <w:color w:val="333333"/>
          <w:sz w:val="32"/>
          <w:szCs w:val="32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jc w:val="both"/>
        <w:rPr/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El Ayuntamiento pone en marcha la III Edición del Programa “Oportunidades Empresariales y Profesionales del Patrimonio de Jerez” especialmente dirigido a los profesionales y emprendedores del turismo y servicios complementarios, cuyo objetivo es explorar y acercar al sector herramientas y oportunidades de negocio derivadas del riquísimo y diverso patrimonio histórico de la ciudad.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/>
          <w:color w:val="333333"/>
          <w:sz w:val="21"/>
          <w:szCs w:val="21"/>
          <w:lang w:eastAsia="es-ES"/>
        </w:rPr>
      </w:pPr>
      <w:r>
        <w:rPr>
          <w:rFonts w:eastAsia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Esta programación tuvo sus primeras ediciones en 2019 y en 2020. Este año se presenta un programa más extenso y diversificado, se amplía la oferta formativa y se mejoran los contenidos. Esta tercera edición se desarrollará entre los meses de febrero y mayo de 2022 y se ofertan un total de 33 acciones formativas y 81 horas lectivas.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/>
          <w:color w:val="333333"/>
          <w:sz w:val="21"/>
          <w:szCs w:val="21"/>
          <w:lang w:eastAsia="es-ES"/>
        </w:rPr>
      </w:pPr>
      <w:r>
        <w:rPr>
          <w:rFonts w:eastAsia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jc w:val="both"/>
        <w:rPr/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Se trata de un programa de formación empresarial especializada. Sus destinatarios son profesionales, empresas y emprendedores del turismo y actividades complementarias de este sub-sector. Pretende mejorar su formación en el conocimiento de nuestro patrimonio histórico y cultural. También se trata de ayudar a identificar y poner en marcha nuevas oportunidades y herramientas empresariales y profesionales basadas en la gestión de nuestro patrimonio.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/>
          <w:color w:val="333333"/>
          <w:sz w:val="21"/>
          <w:szCs w:val="21"/>
          <w:lang w:eastAsia="es-ES"/>
        </w:rPr>
      </w:pPr>
      <w:r>
        <w:rPr>
          <w:rFonts w:eastAsia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jc w:val="both"/>
        <w:rPr/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 xml:space="preserve">Esta iniciativa comparte recursos técnicos y organizativos de dos delegaciones municipales: la Delegación Reactivación Económica, Captación de Inversiones, Educación y Empleo y la Delegación de Dinamización Cultural y Patrimonio Histórico del Ayuntamiento de Jerez. El conocimiento y experiencia en materia de patrimonio histórico de la Delegación de Dinamización Cultural se suma a la </w:t>
      </w:r>
      <w:r>
        <w:rPr>
          <w:rFonts w:eastAsia="Times New Roman" w:ascii="Verdana" w:hAnsi="Verdana"/>
          <w:color w:val="333333"/>
          <w:sz w:val="21"/>
          <w:szCs w:val="21"/>
          <w:lang w:eastAsia="es-ES"/>
        </w:rPr>
        <w:t>a la amplia experiencia y práctica apoyando y fomentando proyectos e iniciativas empresariales de la Delegación de Reactivación Económica.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/>
          <w:color w:val="333333"/>
          <w:sz w:val="21"/>
          <w:szCs w:val="21"/>
          <w:lang w:eastAsia="es-ES"/>
        </w:rPr>
      </w:pPr>
      <w:r>
        <w:rPr>
          <w:rFonts w:eastAsia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jc w:val="both"/>
        <w:rPr/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La programación combina las sesiones de teoría con las sesiones prácticas, que se distribuyen en tres grandes bloques temáticos: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/>
          <w:color w:val="333333"/>
          <w:sz w:val="21"/>
          <w:szCs w:val="21"/>
          <w:lang w:eastAsia="es-ES"/>
        </w:rPr>
      </w:pPr>
      <w:r>
        <w:rPr>
          <w:rFonts w:eastAsia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ListParagraph"/>
        <w:numPr>
          <w:ilvl w:val="0"/>
          <w:numId w:val="2"/>
        </w:numPr>
        <w:shd w:val="clear" w:color="auto" w:fill="FFFFFF"/>
        <w:suppressAutoHyphens w:val="true"/>
        <w:spacing w:lineRule="auto" w:line="240" w:before="0" w:after="23"/>
        <w:contextualSpacing/>
        <w:jc w:val="both"/>
        <w:textAlignment w:val="baseline"/>
        <w:rPr/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Sesiones de formación teórica sobre el patrimonio histórico (material e inmaterial) de la Ciudad de Jerez.</w:t>
      </w:r>
    </w:p>
    <w:p>
      <w:pPr>
        <w:pStyle w:val="ListParagraph"/>
        <w:numPr>
          <w:ilvl w:val="0"/>
          <w:numId w:val="1"/>
        </w:numPr>
        <w:shd w:val="clear" w:color="auto" w:fill="FFFFFF"/>
        <w:suppressAutoHyphens w:val="true"/>
        <w:spacing w:lineRule="auto" w:line="240" w:before="0" w:after="23"/>
        <w:contextualSpacing/>
        <w:jc w:val="both"/>
        <w:textAlignment w:val="baseline"/>
        <w:rPr/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Sesiones formativas sobre el patrimonio como herramienta profesional y empresarial.</w:t>
      </w:r>
    </w:p>
    <w:p>
      <w:pPr>
        <w:pStyle w:val="ListParagraph"/>
        <w:numPr>
          <w:ilvl w:val="0"/>
          <w:numId w:val="1"/>
        </w:numPr>
        <w:shd w:val="clear" w:color="auto" w:fill="FFFFFF"/>
        <w:suppressAutoHyphens w:val="true"/>
        <w:spacing w:lineRule="auto" w:line="240" w:before="0" w:after="23"/>
        <w:contextualSpacing/>
        <w:jc w:val="both"/>
        <w:textAlignment w:val="baseline"/>
        <w:rPr/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Sesiones de formación práctica sobre patrimonio de Jerez, mediante visitas guiadas.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/>
          <w:color w:val="333333"/>
          <w:sz w:val="21"/>
          <w:szCs w:val="21"/>
          <w:lang w:eastAsia="es-ES"/>
        </w:rPr>
      </w:pPr>
      <w:r>
        <w:rPr>
          <w:rFonts w:eastAsia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jc w:val="both"/>
        <w:rPr/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 xml:space="preserve">Las Sesiones de formación teórica sobre el patrimonio histórico de la Ciudad de Jerez ofrecen un recorrido a través de la historia y de los diferentes estilos artísticos de nuestro patrimonio. 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/>
          <w:color w:val="333333"/>
          <w:sz w:val="21"/>
          <w:szCs w:val="21"/>
          <w:lang w:eastAsia="es-ES"/>
        </w:rPr>
      </w:pPr>
      <w:r>
        <w:rPr>
          <w:rFonts w:eastAsia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jc w:val="both"/>
        <w:rPr/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 xml:space="preserve">Las sesiones formativas sobre el patrimonio como herramienta profesional y empresarial tratan de ayudar a identificar nuevas oportunidades y estrategias de negocio basadas en la gestión de nuestro patrimonio. 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jc w:val="both"/>
        <w:rPr/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Y, para profundizar en el apoyo a las iniciativas empresariales y emprendedoras que participen en el programa, los alumnos tendrán a su disposición los servicios de asesoramiento a emprendedores que ofrece el Ayuntamiento de Jerez, contando con el apoyo de un técnico empresarial del Departamento de reactivación Económica y Captación de Inversiones que prestarán su colaboración en el diseño y puesta en marcha de sus ideas de negocio.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/>
          <w:color w:val="333333"/>
          <w:sz w:val="21"/>
          <w:szCs w:val="21"/>
          <w:lang w:eastAsia="es-ES"/>
        </w:rPr>
      </w:pPr>
      <w:r>
        <w:rPr>
          <w:rFonts w:eastAsia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jc w:val="both"/>
        <w:rPr/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El programa también pretende facilitar el establecimiento de relaciones de colaboración entre los participantes a la hora de poner en marcha sus negocios o en el desarrollo de su actividad profesional. La propia dinámica del programa propicia el establecimiento de redes de contactos e intercambio empresarial y el acercamiento a entidades y otras empresas turísticas.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/>
          <w:color w:val="333333"/>
          <w:sz w:val="21"/>
          <w:szCs w:val="21"/>
          <w:lang w:eastAsia="es-ES"/>
        </w:rPr>
      </w:pPr>
      <w:r>
        <w:rPr>
          <w:rFonts w:eastAsia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jc w:val="both"/>
        <w:rPr/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El tercer bloque de esta programación ofrece sesiones de formación práctica en Patrimonio de Jerez mediante visitas guiadas a edificios históricos o recorridos por la ciudad. Este se programan también dos recorridos por los alrededores de Jerez para conocer el patrimonio de la campiña jerezana (El Bajo Guadalete y El Patrimonio Natural y la Ruta del Agua).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El programa tiene alta valoración entre los participantes como se refleja en las encuestas de satisfacción realizadas en 2020. Las acciones formativas del programa obtuvieron un 4,61 sobre 5 de puntuación global. Los profesores del programa obtuvieron un 4,70 sobre 5 de puntuación global.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/>
          <w:color w:val="333333"/>
          <w:sz w:val="21"/>
          <w:szCs w:val="21"/>
          <w:lang w:eastAsia="es-ES"/>
        </w:rPr>
      </w:pPr>
      <w:r>
        <w:rPr>
          <w:rFonts w:eastAsia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Lithos Pro Regular" w:hAnsi="Lithos Pro Regular" w:eastAsia="Times New Roman" w:cs="Times New Roman"/>
          <w:bCs/>
          <w:color w:val="333333"/>
          <w:sz w:val="32"/>
          <w:szCs w:val="32"/>
          <w:lang w:eastAsia="es-ES"/>
        </w:rPr>
      </w:pPr>
      <w:r>
        <w:rPr>
          <w:rFonts w:eastAsia="Times New Roman" w:cs="Times New Roman" w:ascii="Lithos Pro Regular" w:hAnsi="Lithos Pro Regular"/>
          <w:bCs/>
          <w:color w:val="333333"/>
          <w:sz w:val="32"/>
          <w:szCs w:val="32"/>
          <w:lang w:eastAsia="es-ES"/>
        </w:rPr>
        <w:t>Claustro de Profesores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/>
          <w:color w:val="333333"/>
          <w:sz w:val="21"/>
          <w:szCs w:val="21"/>
          <w:lang w:eastAsia="es-ES"/>
        </w:rPr>
      </w:pPr>
      <w:r>
        <w:rPr>
          <w:rFonts w:eastAsia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Para la impartición de este programa formativo se cuenta con la colaboración de un amplio grupo de técnicos municipales que desarrollan sus funciones en el Área de Dinamización Cultural y Patrimonio Histórico o en los Servicios Reactivación Económica y Captación de Inversiones y de Urbanismo del Ayuntamiento.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jc w:val="both"/>
        <w:rPr/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En el desarrollo de la programación colaboran el Centro Europeo de Empresas e Innovación CEEI Bahía de Cádiz y el Instituto de Empleo y Desarrollo Tecnológico (IEDT) de la Diputación de Cádiz.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/>
          <w:color w:val="333333"/>
          <w:sz w:val="21"/>
          <w:szCs w:val="21"/>
          <w:lang w:eastAsia="es-ES"/>
        </w:rPr>
      </w:pPr>
      <w:r>
        <w:rPr>
          <w:rFonts w:eastAsia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jc w:val="both"/>
        <w:rPr/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 xml:space="preserve">También se cuenta con la colaboración de ponentes externos. </w:t>
      </w:r>
      <w:r>
        <w:rPr>
          <w:rFonts w:ascii="Verdana" w:hAnsi="Verdana"/>
          <w:color w:val="333333"/>
          <w:sz w:val="21"/>
          <w:szCs w:val="21"/>
        </w:rPr>
        <w:t>Las sesiones sobre el patrimonio de la Campiña Jerezana, correrán a cargo de Agustín García Lázaro. Agustín es diplomado en Magisterio y Licenciado en Ciencias de la Educación. Ha sido profesor de Enseñanza General Básica, de Enseñanza Secundaria y de la Universidad de Cádiz. Autor y coautor de libros, guías didácticas y publicaciones divulgativas de temas relacionados con la educación ambiental y el patrimonio. Miembro del Centro de Estudios Históricos Jerezanos (CEHJ), del Grupo de Historia Cultura y Patrimonio Rural (HCPR), de la Sociedad Gaditana de Historia Natural (SGHN) y de Ecologistas en Acción (EA). Defensor de la Ciudadanía de Jerez 2004-2008. Premio Especial Ciudad de Jerez 2008. Es coautor del blog ENTORNOAJEREZ, que publica desde hace diez años y colaborador habitual de Diario de Jerez.</w:t>
      </w:r>
    </w:p>
    <w:p>
      <w:pPr>
        <w:pStyle w:val="NormalWeb"/>
        <w:spacing w:before="280" w:after="280"/>
        <w:jc w:val="both"/>
        <w:rPr/>
      </w:pPr>
      <w:r>
        <w:rPr>
          <w:rFonts w:ascii="Verdana" w:hAnsi="Verdana"/>
          <w:color w:val="333333"/>
          <w:sz w:val="21"/>
          <w:szCs w:val="21"/>
        </w:rPr>
        <w:t>La sesión sobre el Patrimonio Flamenco de Jerez será impartida por Francisco Perujo Serrano, responsable académico del Máster Interuniversitario en Investigación y Análisis del Flamenco y profesor doctor universitario.</w:t>
      </w:r>
    </w:p>
    <w:p>
      <w:pPr>
        <w:pStyle w:val="Normal"/>
        <w:shd w:val="clear" w:color="auto" w:fill="FFFFFF"/>
        <w:spacing w:lineRule="auto" w:line="240" w:before="0" w:after="23"/>
        <w:jc w:val="both"/>
        <w:rPr/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En la sesión sobre el patrimonio como recurso socioeconómico intervendrá Santiago Campuzano Guerrero. Experto en Gestión Cultural. Fue conservador del Museo de la Autonomía de Andalucía y responsable de exposiciones en la implantación de la nueva museografía y plan director del Pabellón de la Navegación de Sevilla. Profesor de la Universidad Pablo de Olavide de Sevilla.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b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bCs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Lithos Pro Regular" w:hAnsi="Lithos Pro Regular" w:eastAsia="Times New Roman" w:cs="Times New Roman"/>
          <w:bCs/>
          <w:color w:val="333333"/>
          <w:sz w:val="32"/>
          <w:szCs w:val="32"/>
          <w:lang w:eastAsia="es-ES"/>
        </w:rPr>
      </w:pPr>
      <w:r>
        <w:rPr>
          <w:rFonts w:eastAsia="Times New Roman" w:cs="Times New Roman" w:ascii="Lithos Pro Regular" w:hAnsi="Lithos Pro Regular"/>
          <w:bCs/>
          <w:color w:val="333333"/>
          <w:sz w:val="32"/>
          <w:szCs w:val="32"/>
          <w:lang w:eastAsia="es-ES"/>
        </w:rPr>
        <w:t>Condiciones de participación e inscripción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/>
          <w:color w:val="333333"/>
          <w:sz w:val="21"/>
          <w:szCs w:val="21"/>
          <w:lang w:eastAsia="es-ES"/>
        </w:rPr>
      </w:pPr>
      <w:r>
        <w:rPr>
          <w:rFonts w:eastAsia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El programa formativo para profesionales y emprendedores del sector turístico es gratuito para los alumnos y por ello se requerirá compromiso de participación en sus acciones. Este ciclo se concibe como un itinerario formativo único, en el que el alumno se inscribe a la totalidad de las sesiones y debe participar al menos en el 80% de las mismas. Se reconocerá con un diploma la participación en el programa formativo.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/>
          <w:color w:val="333333"/>
          <w:sz w:val="21"/>
          <w:szCs w:val="21"/>
          <w:lang w:eastAsia="es-ES"/>
        </w:rPr>
      </w:pPr>
      <w:r>
        <w:rPr>
          <w:rFonts w:eastAsia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Por lo general las clases teóricas serán en horario de tarde y las prácticas en horario de mañana. La mayoría de las sesiones teóricas se impartirán en el Salón de Actos de la Delegación Reactivación Económica, Captación de Inversiones, Educación y Empleo del Ayuntamiento (Avda. Alcalde Álvaro Domecq 5-7-9). También se impartirán algunas de sesiones teóricas en el Museo Arqueológico de la Ciudad.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/>
          <w:color w:val="333333"/>
          <w:sz w:val="21"/>
          <w:szCs w:val="21"/>
          <w:lang w:eastAsia="es-ES"/>
        </w:rPr>
      </w:pPr>
      <w:r>
        <w:rPr>
          <w:rFonts w:eastAsia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Cabecera"/>
        <w:rPr>
          <w:rFonts w:ascii="Verdana" w:hAnsi="Verdana" w:cs="Calibri"/>
          <w:sz w:val="21"/>
          <w:szCs w:val="21"/>
        </w:rPr>
      </w:pPr>
      <w:r>
        <w:rPr>
          <w:rFonts w:cs="Calibri" w:ascii="Verdana" w:hAnsi="Verdana"/>
          <w:sz w:val="21"/>
          <w:szCs w:val="21"/>
        </w:rPr>
        <w:t>Se ha preparado una sección dentro de la web municipal para ofrecer la información del programa y facilitar la inscripción de los alumnos.</w:t>
      </w:r>
    </w:p>
    <w:p>
      <w:pPr>
        <w:pStyle w:val="Normal"/>
        <w:shd w:val="clear" w:color="auto" w:fill="FFFFFF"/>
        <w:spacing w:lineRule="auto" w:line="240" w:before="0" w:after="23"/>
        <w:jc w:val="both"/>
        <w:rPr/>
      </w:pPr>
      <w:hyperlink r:id="rId3">
        <w:r>
          <w:rPr>
            <w:rStyle w:val="EnlacedeInternet"/>
            <w:rFonts w:ascii="Verdana" w:hAnsi="Verdana"/>
            <w:sz w:val="21"/>
            <w:szCs w:val="21"/>
          </w:rPr>
          <w:t>http://www.jerez.es/emprendimiento/formacion/patrimoniojerez/</w:t>
        </w:r>
      </w:hyperlink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/>
          <w:color w:val="333333"/>
          <w:sz w:val="21"/>
          <w:szCs w:val="21"/>
          <w:lang w:eastAsia="es-ES"/>
        </w:rPr>
      </w:pPr>
      <w:r>
        <w:rPr>
          <w:rFonts w:eastAsia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Lithos Pro Regular" w:hAnsi="Lithos Pro Regular" w:eastAsia="Times New Roman" w:cs="Times New Roman"/>
          <w:bCs/>
          <w:color w:val="333333"/>
          <w:sz w:val="32"/>
          <w:szCs w:val="32"/>
          <w:lang w:eastAsia="es-ES"/>
        </w:rPr>
      </w:pPr>
      <w:r>
        <w:rPr>
          <w:rFonts w:eastAsia="Times New Roman" w:cs="Times New Roman" w:ascii="Lithos Pro Regular" w:hAnsi="Lithos Pro Regular"/>
          <w:bCs/>
          <w:color w:val="333333"/>
          <w:sz w:val="32"/>
          <w:szCs w:val="32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Lithos Pro Regular" w:hAnsi="Lithos Pro Regular" w:eastAsia="Times New Roman" w:cs="Times New Roman"/>
          <w:bCs/>
          <w:color w:val="333333"/>
          <w:sz w:val="32"/>
          <w:szCs w:val="32"/>
          <w:lang w:eastAsia="es-ES"/>
        </w:rPr>
      </w:pPr>
      <w:r>
        <w:rPr>
          <w:rFonts w:eastAsia="Times New Roman" w:cs="Times New Roman" w:ascii="Lithos Pro Regular" w:hAnsi="Lithos Pro Regular"/>
          <w:bCs/>
          <w:color w:val="333333"/>
          <w:sz w:val="32"/>
          <w:szCs w:val="32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Lithos Pro Regular" w:hAnsi="Lithos Pro Regular" w:eastAsia="Times New Roman" w:cs="Times New Roman"/>
          <w:bCs/>
          <w:color w:val="333333"/>
          <w:sz w:val="32"/>
          <w:szCs w:val="32"/>
          <w:lang w:eastAsia="es-ES"/>
        </w:rPr>
      </w:pPr>
      <w:r>
        <w:rPr>
          <w:rFonts w:eastAsia="Times New Roman" w:cs="Times New Roman" w:ascii="Lithos Pro Regular" w:hAnsi="Lithos Pro Regular"/>
          <w:bCs/>
          <w:color w:val="333333"/>
          <w:sz w:val="32"/>
          <w:szCs w:val="32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Lithos Pro Regular" w:hAnsi="Lithos Pro Regular" w:eastAsia="Times New Roman" w:cs="Times New Roman"/>
          <w:bCs/>
          <w:color w:val="333333"/>
          <w:sz w:val="32"/>
          <w:szCs w:val="32"/>
          <w:lang w:eastAsia="es-ES"/>
        </w:rPr>
      </w:pPr>
      <w:r>
        <w:rPr>
          <w:rFonts w:eastAsia="Times New Roman" w:cs="Times New Roman" w:ascii="Lithos Pro Regular" w:hAnsi="Lithos Pro Regular"/>
          <w:bCs/>
          <w:color w:val="333333"/>
          <w:sz w:val="32"/>
          <w:szCs w:val="32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Lithos Pro Regular" w:hAnsi="Lithos Pro Regular" w:eastAsia="Times New Roman" w:cs="Times New Roman"/>
          <w:bCs/>
          <w:color w:val="333333"/>
          <w:sz w:val="32"/>
          <w:szCs w:val="32"/>
          <w:lang w:eastAsia="es-ES"/>
        </w:rPr>
      </w:pPr>
      <w:r>
        <w:rPr>
          <w:rFonts w:eastAsia="Times New Roman" w:cs="Times New Roman" w:ascii="Lithos Pro Regular" w:hAnsi="Lithos Pro Regular"/>
          <w:bCs/>
          <w:color w:val="333333"/>
          <w:sz w:val="32"/>
          <w:szCs w:val="32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Lithos Pro Regular" w:hAnsi="Lithos Pro Regular" w:eastAsia="Times New Roman" w:cs="Times New Roman"/>
          <w:bCs/>
          <w:color w:val="333333"/>
          <w:sz w:val="32"/>
          <w:szCs w:val="32"/>
          <w:lang w:eastAsia="es-ES"/>
        </w:rPr>
      </w:pPr>
      <w:r>
        <w:rPr>
          <w:rFonts w:eastAsia="Times New Roman" w:cs="Times New Roman" w:ascii="Lithos Pro Regular" w:hAnsi="Lithos Pro Regular"/>
          <w:bCs/>
          <w:color w:val="333333"/>
          <w:sz w:val="32"/>
          <w:szCs w:val="32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Lithos Pro Regular" w:hAnsi="Lithos Pro Regular" w:eastAsia="Times New Roman" w:cs="Times New Roman"/>
          <w:bCs/>
          <w:color w:val="333333"/>
          <w:sz w:val="32"/>
          <w:szCs w:val="32"/>
          <w:lang w:eastAsia="es-ES"/>
        </w:rPr>
      </w:pPr>
      <w:r>
        <w:rPr>
          <w:rFonts w:eastAsia="Times New Roman" w:cs="Times New Roman" w:ascii="Lithos Pro Regular" w:hAnsi="Lithos Pro Regular"/>
          <w:bCs/>
          <w:color w:val="333333"/>
          <w:sz w:val="32"/>
          <w:szCs w:val="32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Lithos Pro Regular" w:hAnsi="Lithos Pro Regular" w:eastAsia="Times New Roman" w:cs="Times New Roman"/>
          <w:bCs/>
          <w:color w:val="333333"/>
          <w:sz w:val="32"/>
          <w:szCs w:val="32"/>
          <w:lang w:eastAsia="es-ES"/>
        </w:rPr>
      </w:pPr>
      <w:r>
        <w:rPr>
          <w:rFonts w:eastAsia="Times New Roman" w:cs="Times New Roman" w:ascii="Lithos Pro Regular" w:hAnsi="Lithos Pro Regular"/>
          <w:bCs/>
          <w:color w:val="333333"/>
          <w:sz w:val="32"/>
          <w:szCs w:val="32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Lithos Pro Regular" w:hAnsi="Lithos Pro Regular" w:eastAsia="Times New Roman" w:cs="Times New Roman"/>
          <w:bCs/>
          <w:color w:val="333333"/>
          <w:sz w:val="32"/>
          <w:szCs w:val="32"/>
          <w:lang w:eastAsia="es-ES"/>
        </w:rPr>
      </w:pPr>
      <w:r>
        <w:rPr>
          <w:rFonts w:eastAsia="Times New Roman" w:cs="Times New Roman" w:ascii="Lithos Pro Regular" w:hAnsi="Lithos Pro Regular"/>
          <w:bCs/>
          <w:color w:val="333333"/>
          <w:sz w:val="32"/>
          <w:szCs w:val="32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Lithos Pro Regular" w:hAnsi="Lithos Pro Regular" w:eastAsia="Times New Roman" w:cs="Times New Roman"/>
          <w:bCs/>
          <w:color w:val="333333"/>
          <w:sz w:val="32"/>
          <w:szCs w:val="32"/>
          <w:lang w:eastAsia="es-ES"/>
        </w:rPr>
      </w:pPr>
      <w:r>
        <w:rPr>
          <w:rFonts w:eastAsia="Times New Roman" w:cs="Times New Roman" w:ascii="Lithos Pro Regular" w:hAnsi="Lithos Pro Regular"/>
          <w:bCs/>
          <w:color w:val="333333"/>
          <w:sz w:val="32"/>
          <w:szCs w:val="32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Lithos Pro Regular" w:hAnsi="Lithos Pro Regular" w:eastAsia="Times New Roman" w:cs="Times New Roman"/>
          <w:bCs/>
          <w:color w:val="333333"/>
          <w:sz w:val="32"/>
          <w:szCs w:val="32"/>
          <w:lang w:eastAsia="es-ES"/>
        </w:rPr>
      </w:pPr>
      <w:r>
        <w:rPr>
          <w:rFonts w:eastAsia="Times New Roman" w:cs="Times New Roman" w:ascii="Lithos Pro Regular" w:hAnsi="Lithos Pro Regular"/>
          <w:bCs/>
          <w:color w:val="333333"/>
          <w:sz w:val="32"/>
          <w:szCs w:val="32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Lithos Pro Regular" w:hAnsi="Lithos Pro Regular" w:eastAsia="Times New Roman" w:cs="Times New Roman"/>
          <w:bCs/>
          <w:color w:val="333333"/>
          <w:sz w:val="32"/>
          <w:szCs w:val="32"/>
          <w:lang w:eastAsia="es-ES"/>
        </w:rPr>
      </w:pPr>
      <w:r>
        <w:rPr>
          <w:rFonts w:eastAsia="Times New Roman" w:cs="Times New Roman" w:ascii="Lithos Pro Regular" w:hAnsi="Lithos Pro Regular"/>
          <w:bCs/>
          <w:color w:val="333333"/>
          <w:sz w:val="32"/>
          <w:szCs w:val="32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Lithos Pro Regular" w:hAnsi="Lithos Pro Regular" w:eastAsia="Times New Roman" w:cs="Times New Roman"/>
          <w:bCs/>
          <w:color w:val="333333"/>
          <w:sz w:val="32"/>
          <w:szCs w:val="32"/>
          <w:lang w:eastAsia="es-ES"/>
        </w:rPr>
      </w:pPr>
      <w:r>
        <w:rPr>
          <w:rFonts w:eastAsia="Times New Roman" w:cs="Times New Roman" w:ascii="Lithos Pro Regular" w:hAnsi="Lithos Pro Regular"/>
          <w:bCs/>
          <w:color w:val="333333"/>
          <w:sz w:val="32"/>
          <w:szCs w:val="32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Lithos Pro Regular" w:hAnsi="Lithos Pro Regular" w:eastAsia="Times New Roman" w:cs="Times New Roman"/>
          <w:bCs/>
          <w:color w:val="333333"/>
          <w:sz w:val="32"/>
          <w:szCs w:val="32"/>
          <w:lang w:eastAsia="es-ES"/>
        </w:rPr>
      </w:pPr>
      <w:r>
        <w:rPr>
          <w:rFonts w:eastAsia="Times New Roman" w:cs="Times New Roman" w:ascii="Lithos Pro Regular" w:hAnsi="Lithos Pro Regular"/>
          <w:bCs/>
          <w:color w:val="333333"/>
          <w:sz w:val="32"/>
          <w:szCs w:val="32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Lithos Pro Regular" w:hAnsi="Lithos Pro Regular" w:eastAsia="Times New Roman" w:cs="Times New Roman"/>
          <w:bCs/>
          <w:color w:val="333333"/>
          <w:sz w:val="32"/>
          <w:szCs w:val="32"/>
          <w:lang w:eastAsia="es-ES"/>
        </w:rPr>
      </w:pPr>
      <w:r>
        <w:rPr>
          <w:rFonts w:eastAsia="Times New Roman" w:cs="Times New Roman" w:ascii="Lithos Pro Regular" w:hAnsi="Lithos Pro Regular"/>
          <w:bCs/>
          <w:color w:val="333333"/>
          <w:sz w:val="32"/>
          <w:szCs w:val="32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Lithos Pro Regular" w:hAnsi="Lithos Pro Regular" w:eastAsia="Times New Roman" w:cs="Times New Roman"/>
          <w:bCs/>
          <w:color w:val="333333"/>
          <w:sz w:val="32"/>
          <w:szCs w:val="32"/>
          <w:lang w:eastAsia="es-ES"/>
        </w:rPr>
      </w:pPr>
      <w:r>
        <w:rPr>
          <w:rFonts w:eastAsia="Times New Roman" w:cs="Times New Roman" w:ascii="Lithos Pro Regular" w:hAnsi="Lithos Pro Regular"/>
          <w:bCs/>
          <w:color w:val="333333"/>
          <w:sz w:val="32"/>
          <w:szCs w:val="32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Lithos Pro Regular" w:hAnsi="Lithos Pro Regular" w:eastAsia="Times New Roman" w:cs="Times New Roman"/>
          <w:bCs/>
          <w:color w:val="333333"/>
          <w:sz w:val="32"/>
          <w:szCs w:val="32"/>
          <w:lang w:eastAsia="es-ES"/>
        </w:rPr>
      </w:pPr>
      <w:r>
        <w:rPr>
          <w:rFonts w:eastAsia="Times New Roman" w:cs="Times New Roman" w:ascii="Lithos Pro Regular" w:hAnsi="Lithos Pro Regular"/>
          <w:bCs/>
          <w:color w:val="333333"/>
          <w:sz w:val="32"/>
          <w:szCs w:val="32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Lithos Pro Regular" w:hAnsi="Lithos Pro Regular" w:eastAsia="Times New Roman" w:cs="Times New Roman"/>
          <w:bCs/>
          <w:color w:val="333333"/>
          <w:sz w:val="32"/>
          <w:szCs w:val="32"/>
          <w:lang w:eastAsia="es-ES"/>
        </w:rPr>
      </w:pPr>
      <w:r>
        <w:rPr>
          <w:rFonts w:eastAsia="Times New Roman" w:cs="Times New Roman" w:ascii="Lithos Pro Regular" w:hAnsi="Lithos Pro Regular"/>
          <w:bCs/>
          <w:color w:val="333333"/>
          <w:sz w:val="32"/>
          <w:szCs w:val="32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Lithos Pro Regular" w:hAnsi="Lithos Pro Regular" w:eastAsia="Times New Roman" w:cs="Times New Roman"/>
          <w:bCs/>
          <w:color w:val="333333"/>
          <w:sz w:val="32"/>
          <w:szCs w:val="32"/>
          <w:lang w:eastAsia="es-ES"/>
        </w:rPr>
      </w:pPr>
      <w:r>
        <w:rPr>
          <w:rFonts w:eastAsia="Times New Roman" w:cs="Times New Roman" w:ascii="Lithos Pro Regular" w:hAnsi="Lithos Pro Regular"/>
          <w:bCs/>
          <w:color w:val="333333"/>
          <w:sz w:val="32"/>
          <w:szCs w:val="32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/>
      </w:pPr>
      <w:r>
        <w:rPr>
          <w:rFonts w:eastAsia="Times New Roman" w:cs="Times New Roman" w:ascii="Lithos Pro Regular" w:hAnsi="Lithos Pro Regular"/>
          <w:bCs/>
          <w:color w:val="333333"/>
          <w:sz w:val="32"/>
          <w:szCs w:val="32"/>
          <w:lang w:eastAsia="es-ES"/>
        </w:rPr>
        <w:t>2.- Acciones formativas.</w:t>
      </w:r>
    </w:p>
    <w:p>
      <w:pPr>
        <w:pStyle w:val="Normal"/>
        <w:shd w:val="clear" w:color="auto" w:fill="FFFFFF"/>
        <w:spacing w:lineRule="auto" w:line="240" w:before="0" w:after="23"/>
        <w:rPr>
          <w:rFonts w:ascii="Lithos Pro Regular" w:hAnsi="Lithos Pro Regular" w:eastAsia="Times New Roman" w:cs="Times New Roman"/>
          <w:bCs/>
          <w:color w:val="333333"/>
          <w:sz w:val="32"/>
          <w:szCs w:val="32"/>
          <w:lang w:eastAsia="es-ES"/>
        </w:rPr>
      </w:pPr>
      <w:r>
        <w:rPr>
          <w:rFonts w:eastAsia="Times New Roman" w:cs="Times New Roman" w:ascii="Lithos Pro Regular" w:hAnsi="Lithos Pro Regular"/>
          <w:bCs/>
          <w:color w:val="333333"/>
          <w:sz w:val="32"/>
          <w:szCs w:val="32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Lithos Pro Regular" w:hAnsi="Lithos Pro Regular" w:eastAsia="Times New Roman" w:cs="Times New Roman"/>
          <w:bCs/>
          <w:color w:val="333333"/>
          <w:sz w:val="32"/>
          <w:szCs w:val="32"/>
          <w:lang w:eastAsia="es-ES"/>
        </w:rPr>
      </w:pPr>
      <w:r>
        <w:rPr>
          <w:rFonts w:eastAsia="Times New Roman" w:cs="Times New Roman" w:ascii="Lithos Pro Regular" w:hAnsi="Lithos Pro Regular"/>
          <w:bCs/>
          <w:color w:val="333333"/>
          <w:sz w:val="32"/>
          <w:szCs w:val="32"/>
          <w:lang w:eastAsia="es-ES"/>
        </w:rPr>
        <w:t>Bloque A.- Sesiones formativas teóricas en el Patrimonio de la Ciudad de Jerez.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A1. ¿A qué llamamos Patrimonio Histórico Artístico?</w:t>
      </w:r>
    </w:p>
    <w:p>
      <w:pPr>
        <w:pStyle w:val="Normal"/>
        <w:shd w:val="clear" w:color="auto" w:fill="FFFFFF"/>
        <w:spacing w:lineRule="auto" w:line="240" w:before="0" w:after="0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Profesor: D. Manuel Romero Bejarano.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A2. El Museo Arqueológico de Jerez.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Profesor: D. Francisco Barrionuevo Contreras.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Profesor. D. Laureano Aguilar Moya.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A3. Historia y Arte en Jerez en la Edad Media.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Profesor: D. Manuel Romero Bejarano.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A4. Historia y Arte en Jerez en el Renacimiento.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Profesor: D. Manuel Romero Bejarano.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A5. Historia y Arte en Jerez en la Época Barroca.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Profesor: D. Manuel Romero Bejarano.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A6. Historia y Arte en Jerez en la Época Contemporánea. La Arquitectura Bodeguera.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Profesor: D. Manuel Romero Bejarano.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A7. La Semana Santa de Jerez y su Patrimonio Artístico.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Profesor: D. Antonio de la Rosa Mateos.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A8. El Patrimonio de la Campiña Jerezana.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Profesor: D. Agustín García Lázaro.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A9. Vidas Contadas. Historias de Personajes Jerezanos y Sugerencias para Visitas Teatralizadas.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Profesor: D. Manuel Romero Bejarano.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A10. Los Carteles de Fiestas de Jerez: Publicidad y Etnografía.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Profesora: Dña. Carmen Martín Mochales.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Lithos Pro Regular" w:hAnsi="Lithos Pro Regular" w:eastAsia="Times New Roman" w:cs="Times New Roman"/>
          <w:bCs/>
          <w:color w:val="333333"/>
          <w:sz w:val="32"/>
          <w:szCs w:val="32"/>
          <w:lang w:eastAsia="es-ES"/>
        </w:rPr>
      </w:pPr>
      <w:r>
        <w:rPr>
          <w:rFonts w:eastAsia="Times New Roman" w:cs="Times New Roman" w:ascii="Lithos Pro Regular" w:hAnsi="Lithos Pro Regular"/>
          <w:bCs/>
          <w:color w:val="333333"/>
          <w:sz w:val="32"/>
          <w:szCs w:val="32"/>
          <w:lang w:eastAsia="es-ES"/>
        </w:rPr>
        <w:t>Bloque B.- Sesiones formativas sobre el patrimonio como herramienta profesional y empresarial.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i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iCs/>
          <w:color w:val="333333"/>
          <w:sz w:val="21"/>
          <w:szCs w:val="21"/>
          <w:lang w:eastAsia="es-ES"/>
        </w:rPr>
        <w:t>B1. Estrategia y Diseño de Modelos de Negocio en el Sector Turístico. Business Model Canvas.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i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iCs/>
          <w:color w:val="333333"/>
          <w:sz w:val="21"/>
          <w:szCs w:val="21"/>
          <w:lang w:eastAsia="es-ES"/>
        </w:rPr>
        <w:t>Profesor: D. José Antonio Sánchez Blanco.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i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iCs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i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iCs/>
          <w:color w:val="333333"/>
          <w:sz w:val="21"/>
          <w:szCs w:val="21"/>
          <w:lang w:eastAsia="es-ES"/>
        </w:rPr>
        <w:t>B2. "El Patrimonio en la Administración Local: Normativa y procedimientos de aplicación a la actividad Empresarial y Emprendedora".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i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iCs/>
          <w:color w:val="333333"/>
          <w:sz w:val="21"/>
          <w:szCs w:val="21"/>
          <w:lang w:eastAsia="es-ES"/>
        </w:rPr>
        <w:t>Profesora: Dña. Gloria Muñoz Peña.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i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iCs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i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iCs/>
          <w:color w:val="333333"/>
          <w:sz w:val="21"/>
          <w:szCs w:val="21"/>
          <w:lang w:eastAsia="es-ES"/>
        </w:rPr>
        <w:t>B3. El Patrimonio como Recurso Socioeconómico.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i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iCs/>
          <w:color w:val="333333"/>
          <w:sz w:val="21"/>
          <w:szCs w:val="21"/>
          <w:lang w:eastAsia="es-ES"/>
        </w:rPr>
        <w:t>Profesor: D. Santiago Campuzano Guerrero.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i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iCs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i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iCs/>
          <w:color w:val="333333"/>
          <w:sz w:val="21"/>
          <w:szCs w:val="21"/>
          <w:lang w:eastAsia="es-ES"/>
        </w:rPr>
        <w:t>B4. La Conservación y Restauración de Bienes Patrimoniales. El Laboratorio del Museo Arqueológico.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i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iCs/>
          <w:color w:val="333333"/>
          <w:sz w:val="21"/>
          <w:szCs w:val="21"/>
          <w:lang w:eastAsia="es-ES"/>
        </w:rPr>
        <w:t>Profesora: Dña. Carmen Martín Mochales.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i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iCs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i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iCs/>
          <w:color w:val="333333"/>
          <w:sz w:val="21"/>
          <w:szCs w:val="21"/>
          <w:lang w:eastAsia="es-ES"/>
        </w:rPr>
        <w:t>B5. Taller “Innovación y Creatividad en la Pyme: Emprendiendo la búsqueda de soluciones y oportunidades en una economía cambiante”.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i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iCs/>
          <w:color w:val="333333"/>
          <w:sz w:val="21"/>
          <w:szCs w:val="21"/>
          <w:lang w:eastAsia="es-ES"/>
        </w:rPr>
        <w:t>Profesor: D. José María Martínez Martín.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i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iCs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i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iCs/>
          <w:color w:val="333333"/>
          <w:sz w:val="21"/>
          <w:szCs w:val="21"/>
          <w:lang w:eastAsia="es-ES"/>
        </w:rPr>
        <w:t>B6. Financiación para Proyectos Culturales. Fondos Next Generation.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i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iCs/>
          <w:color w:val="333333"/>
          <w:sz w:val="21"/>
          <w:szCs w:val="21"/>
          <w:lang w:eastAsia="es-ES"/>
        </w:rPr>
        <w:t>Profesora: Dña. Miriam Almagro Parrado.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i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iCs/>
          <w:color w:val="333333"/>
          <w:sz w:val="21"/>
          <w:szCs w:val="21"/>
          <w:lang w:eastAsia="es-ES"/>
        </w:rPr>
        <w:t>Profesor: D. Joaquín María González Álvarez.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i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iCs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i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iCs/>
          <w:color w:val="333333"/>
          <w:sz w:val="21"/>
          <w:szCs w:val="21"/>
          <w:lang w:eastAsia="es-ES"/>
        </w:rPr>
        <w:t>B7. La Promoción del Flamenco como Activo Patrimonial.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i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iCs/>
          <w:color w:val="333333"/>
          <w:sz w:val="21"/>
          <w:szCs w:val="21"/>
          <w:lang w:eastAsia="es-ES"/>
        </w:rPr>
        <w:t>Profesor: D. Francisco Perujo Serrano.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i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iCs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i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iCs/>
          <w:color w:val="333333"/>
          <w:sz w:val="21"/>
          <w:szCs w:val="21"/>
          <w:lang w:eastAsia="es-ES"/>
        </w:rPr>
        <w:t>B8. Herramientas Digitales y de Marketing para la Promoción del Patrimonio Cultural.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i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iCs/>
          <w:color w:val="333333"/>
          <w:sz w:val="21"/>
          <w:szCs w:val="21"/>
          <w:lang w:eastAsia="es-ES"/>
        </w:rPr>
        <w:t>Profesora: Dña. Teresa Suárez Martín.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i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iCs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i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iCs/>
          <w:color w:val="333333"/>
          <w:sz w:val="21"/>
          <w:szCs w:val="21"/>
          <w:lang w:eastAsia="es-ES"/>
        </w:rPr>
        <w:t>B9. No morir de éxito: Notas Básicas sobre una Gestión Sostenible del Patrimonio Histórico.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i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iCs/>
          <w:color w:val="333333"/>
          <w:sz w:val="21"/>
          <w:szCs w:val="21"/>
          <w:lang w:eastAsia="es-ES"/>
        </w:rPr>
        <w:t>Conferencia de Clausura.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i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iCs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i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iCs/>
          <w:color w:val="333333"/>
          <w:sz w:val="21"/>
          <w:szCs w:val="21"/>
          <w:lang w:eastAsia="es-ES"/>
        </w:rPr>
        <w:t>B10. Entrevistas de Asesoramiento Empresarial.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i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iCs/>
          <w:color w:val="333333"/>
          <w:sz w:val="21"/>
          <w:szCs w:val="21"/>
          <w:lang w:eastAsia="es-ES"/>
        </w:rPr>
        <w:t>Asesora: Dña. María José García Fonseca.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i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iCs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i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iCs/>
          <w:color w:val="333333"/>
          <w:sz w:val="21"/>
          <w:szCs w:val="21"/>
          <w:lang w:eastAsia="es-ES"/>
        </w:rPr>
        <w:t>B11. El papel de la Semana Santa como indicador del desarrollo territorial: El caso Jerez de la Frontera”.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i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iCs/>
          <w:color w:val="333333"/>
          <w:sz w:val="21"/>
          <w:szCs w:val="21"/>
          <w:lang w:eastAsia="es-ES"/>
        </w:rPr>
        <w:t>Profesor: Francisco Antonio García Márquez.</w:t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i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iCs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i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iCs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i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iCs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Lithos Pro Regular" w:hAnsi="Lithos Pro Regular" w:eastAsia="Times New Roman" w:cs="Times New Roman"/>
          <w:bCs/>
          <w:color w:val="333333"/>
          <w:sz w:val="32"/>
          <w:szCs w:val="32"/>
          <w:lang w:eastAsia="es-ES"/>
        </w:rPr>
      </w:pPr>
      <w:r>
        <w:rPr>
          <w:rFonts w:eastAsia="Times New Roman" w:cs="Times New Roman" w:ascii="Lithos Pro Regular" w:hAnsi="Lithos Pro Regular"/>
          <w:bCs/>
          <w:color w:val="333333"/>
          <w:sz w:val="32"/>
          <w:szCs w:val="32"/>
          <w:lang w:eastAsia="es-ES"/>
        </w:rPr>
        <w:t>Bloque C.- Sesiones formativas prácticas en Patrimonio de Jerez.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b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bCs/>
          <w:color w:val="333333"/>
          <w:sz w:val="21"/>
          <w:szCs w:val="21"/>
          <w:lang w:eastAsia="es-ES"/>
        </w:rPr>
        <w:t>C1. Ruta por la Ciudad Medieval.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b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bCs/>
          <w:color w:val="333333"/>
          <w:sz w:val="21"/>
          <w:szCs w:val="21"/>
          <w:lang w:eastAsia="es-ES"/>
        </w:rPr>
        <w:t>Profesor: D. Manuel Romero Bejarano.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b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bCs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b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bCs/>
          <w:color w:val="333333"/>
          <w:sz w:val="21"/>
          <w:szCs w:val="21"/>
          <w:lang w:eastAsia="es-ES"/>
        </w:rPr>
        <w:t>C2. Visita a la Catedral.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b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bCs/>
          <w:color w:val="333333"/>
          <w:sz w:val="21"/>
          <w:szCs w:val="21"/>
          <w:lang w:eastAsia="es-ES"/>
        </w:rPr>
        <w:t>Profesor: D. Manuel Romero Bejarano.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b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bCs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b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bCs/>
          <w:color w:val="333333"/>
          <w:sz w:val="21"/>
          <w:szCs w:val="21"/>
          <w:lang w:eastAsia="es-ES"/>
        </w:rPr>
        <w:t>C3. Visita a la Iglesia de San Miguel.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b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bCs/>
          <w:color w:val="333333"/>
          <w:sz w:val="21"/>
          <w:szCs w:val="21"/>
          <w:lang w:eastAsia="es-ES"/>
        </w:rPr>
        <w:t>Profesor: D. Manuel Romero Bejarano.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b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bCs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b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bCs/>
          <w:color w:val="333333"/>
          <w:sz w:val="21"/>
          <w:szCs w:val="21"/>
          <w:lang w:eastAsia="es-ES"/>
        </w:rPr>
        <w:t>C4. Visita al Convento de Santo Domingo y su entorno.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b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bCs/>
          <w:color w:val="333333"/>
          <w:sz w:val="21"/>
          <w:szCs w:val="21"/>
          <w:lang w:eastAsia="es-ES"/>
        </w:rPr>
        <w:t>Profesor: D. Manuel Romero Bejarano.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b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bCs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b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bCs/>
          <w:color w:val="333333"/>
          <w:sz w:val="21"/>
          <w:szCs w:val="21"/>
          <w:lang w:eastAsia="es-ES"/>
        </w:rPr>
        <w:t>C5. Ruta de la Arquitectura Contemporánea de Jerez.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b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bCs/>
          <w:color w:val="333333"/>
          <w:sz w:val="21"/>
          <w:szCs w:val="21"/>
          <w:lang w:eastAsia="es-ES"/>
        </w:rPr>
        <w:t>Profesora: Dña. Milagros Abad Ruiz.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b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bCs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b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bCs/>
          <w:color w:val="333333"/>
          <w:sz w:val="21"/>
          <w:szCs w:val="21"/>
          <w:lang w:eastAsia="es-ES"/>
        </w:rPr>
        <w:t>C6. Visita al Alcázar de Jerez.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b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bCs/>
          <w:color w:val="333333"/>
          <w:sz w:val="21"/>
          <w:szCs w:val="21"/>
          <w:lang w:eastAsia="es-ES"/>
        </w:rPr>
        <w:t>Profesora: Dña. Milagros Abad Ruiz.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b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bCs/>
          <w:color w:val="333333"/>
          <w:sz w:val="21"/>
          <w:szCs w:val="21"/>
          <w:lang w:eastAsia="es-ES"/>
        </w:rPr>
        <w:t>Profesora: Dña. Carmen Martín Mochales.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b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bCs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b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bCs/>
          <w:color w:val="333333"/>
          <w:sz w:val="21"/>
          <w:szCs w:val="21"/>
          <w:lang w:eastAsia="es-ES"/>
        </w:rPr>
        <w:t>C7. Ruta de Las Angustias a la Yedra. El Patrimonio de las Cofradías.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b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bCs/>
          <w:color w:val="333333"/>
          <w:sz w:val="21"/>
          <w:szCs w:val="21"/>
          <w:lang w:eastAsia="es-ES"/>
        </w:rPr>
        <w:t>Profesor: D. Antonio de la Rosa Mateos.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b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bCs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b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bCs/>
          <w:color w:val="333333"/>
          <w:sz w:val="21"/>
          <w:szCs w:val="21"/>
          <w:lang w:eastAsia="es-ES"/>
        </w:rPr>
        <w:t>C8. Jerez Iniciativa Turística. Visita a Empresas del Sector Turístico.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b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bCs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b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bCs/>
          <w:color w:val="333333"/>
          <w:sz w:val="21"/>
          <w:szCs w:val="21"/>
          <w:lang w:eastAsia="es-ES"/>
        </w:rPr>
        <w:t>C9. Ruta el Patrimonio de la Campiña Jerezana 1. El Bajo Guadalete.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b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bCs/>
          <w:color w:val="333333"/>
          <w:sz w:val="21"/>
          <w:szCs w:val="21"/>
          <w:lang w:eastAsia="es-ES"/>
        </w:rPr>
        <w:t>Profesor: D. Agustín García Lázaro.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b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bCs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b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bCs/>
          <w:color w:val="333333"/>
          <w:sz w:val="21"/>
          <w:szCs w:val="21"/>
          <w:lang w:eastAsia="es-ES"/>
        </w:rPr>
        <w:t>C10. Ruta el Patrimonio de la Campiña Jerezana 2. El Patrimonio Natural y la Ruta del Agua.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b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bCs/>
          <w:color w:val="333333"/>
          <w:sz w:val="21"/>
          <w:szCs w:val="21"/>
          <w:lang w:eastAsia="es-ES"/>
        </w:rPr>
        <w:t>Profesor: D. Agustín García Lázaro.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b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bCs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b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bCs/>
          <w:color w:val="333333"/>
          <w:sz w:val="21"/>
          <w:szCs w:val="21"/>
          <w:lang w:eastAsia="es-ES"/>
        </w:rPr>
        <w:t>C11. Ruta Jardines Históricos de Jerez. Visita a Museos de la Atalaya.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b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bCs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b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bCs/>
          <w:color w:val="333333"/>
          <w:sz w:val="21"/>
          <w:szCs w:val="21"/>
          <w:lang w:eastAsia="es-ES"/>
        </w:rPr>
        <w:t>C12. El Patrimonio y la Cultura Ecuestre de Jerez.</w:t>
      </w:r>
    </w:p>
    <w:p>
      <w:pPr>
        <w:pStyle w:val="Normal"/>
        <w:shd w:val="clear" w:color="auto" w:fill="FFFFFF"/>
        <w:spacing w:lineRule="auto" w:line="240" w:before="0" w:after="23"/>
        <w:rPr>
          <w:rFonts w:ascii="Lithos Pro Regular" w:hAnsi="Lithos Pro Regular" w:eastAsia="Times New Roman" w:cs="Times New Roman"/>
          <w:bCs/>
          <w:color w:val="333333"/>
          <w:sz w:val="32"/>
          <w:szCs w:val="32"/>
          <w:lang w:eastAsia="es-ES"/>
        </w:rPr>
      </w:pPr>
      <w:r>
        <w:rPr>
          <w:rFonts w:eastAsia="Times New Roman" w:cs="Times New Roman" w:ascii="Lithos Pro Regular" w:hAnsi="Lithos Pro Regular"/>
          <w:bCs/>
          <w:color w:val="333333"/>
          <w:sz w:val="32"/>
          <w:szCs w:val="32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Lithos Pro Regular" w:hAnsi="Lithos Pro Regular" w:eastAsia="Times New Roman" w:cs="Times New Roman"/>
          <w:bCs/>
          <w:color w:val="333333"/>
          <w:sz w:val="32"/>
          <w:szCs w:val="32"/>
          <w:lang w:eastAsia="es-ES"/>
        </w:rPr>
      </w:pPr>
      <w:r>
        <w:rPr>
          <w:rFonts w:eastAsia="Times New Roman" w:cs="Times New Roman" w:ascii="Lithos Pro Regular" w:hAnsi="Lithos Pro Regular"/>
          <w:bCs/>
          <w:color w:val="333333"/>
          <w:sz w:val="32"/>
          <w:szCs w:val="32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Lithos Pro Regular" w:hAnsi="Lithos Pro Regular" w:eastAsia="Times New Roman" w:cs="Times New Roman"/>
          <w:bCs/>
          <w:color w:val="333333"/>
          <w:sz w:val="32"/>
          <w:szCs w:val="32"/>
          <w:lang w:eastAsia="es-ES"/>
        </w:rPr>
      </w:pPr>
      <w:r>
        <w:rPr>
          <w:rFonts w:eastAsia="Times New Roman" w:cs="Times New Roman" w:ascii="Lithos Pro Regular" w:hAnsi="Lithos Pro Regular"/>
          <w:bCs/>
          <w:color w:val="333333"/>
          <w:sz w:val="32"/>
          <w:szCs w:val="32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Lithos Pro Regular" w:hAnsi="Lithos Pro Regular" w:eastAsia="Times New Roman" w:cs="Times New Roman"/>
          <w:bCs/>
          <w:color w:val="333333"/>
          <w:sz w:val="32"/>
          <w:szCs w:val="32"/>
          <w:lang w:eastAsia="es-ES"/>
        </w:rPr>
      </w:pPr>
      <w:r>
        <w:rPr>
          <w:rFonts w:eastAsia="Times New Roman" w:cs="Times New Roman" w:ascii="Lithos Pro Regular" w:hAnsi="Lithos Pro Regular"/>
          <w:bCs/>
          <w:color w:val="333333"/>
          <w:sz w:val="32"/>
          <w:szCs w:val="32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Lithos Pro Regular" w:hAnsi="Lithos Pro Regular" w:eastAsia="Times New Roman" w:cs="Times New Roman"/>
          <w:bCs/>
          <w:color w:val="333333"/>
          <w:sz w:val="32"/>
          <w:szCs w:val="32"/>
          <w:lang w:eastAsia="es-ES"/>
        </w:rPr>
      </w:pPr>
      <w:r>
        <w:rPr>
          <w:rFonts w:eastAsia="Times New Roman" w:cs="Times New Roman" w:ascii="Lithos Pro Regular" w:hAnsi="Lithos Pro Regular"/>
          <w:bCs/>
          <w:color w:val="333333"/>
          <w:sz w:val="32"/>
          <w:szCs w:val="32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Lithos Pro Regular" w:hAnsi="Lithos Pro Regular" w:eastAsia="Times New Roman" w:cs="Times New Roman"/>
          <w:bCs/>
          <w:color w:val="333333"/>
          <w:sz w:val="32"/>
          <w:szCs w:val="32"/>
          <w:lang w:eastAsia="es-ES"/>
        </w:rPr>
      </w:pPr>
      <w:r>
        <w:rPr>
          <w:rFonts w:eastAsia="Times New Roman" w:cs="Times New Roman" w:ascii="Lithos Pro Regular" w:hAnsi="Lithos Pro Regular"/>
          <w:bCs/>
          <w:color w:val="333333"/>
          <w:sz w:val="32"/>
          <w:szCs w:val="32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Lithos Pro Regular" w:hAnsi="Lithos Pro Regular" w:eastAsia="Times New Roman" w:cs="Times New Roman"/>
          <w:bCs/>
          <w:color w:val="333333"/>
          <w:sz w:val="32"/>
          <w:szCs w:val="32"/>
          <w:lang w:eastAsia="es-ES"/>
        </w:rPr>
      </w:pPr>
      <w:r>
        <w:rPr>
          <w:rFonts w:eastAsia="Times New Roman" w:cs="Times New Roman" w:ascii="Lithos Pro Regular" w:hAnsi="Lithos Pro Regular"/>
          <w:bCs/>
          <w:color w:val="333333"/>
          <w:sz w:val="32"/>
          <w:szCs w:val="32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Lithos Pro Regular" w:hAnsi="Lithos Pro Regular" w:eastAsia="Times New Roman" w:cs="Times New Roman"/>
          <w:bCs/>
          <w:color w:val="333333"/>
          <w:sz w:val="32"/>
          <w:szCs w:val="32"/>
          <w:lang w:eastAsia="es-ES"/>
        </w:rPr>
      </w:pPr>
      <w:r>
        <w:rPr>
          <w:rFonts w:eastAsia="Times New Roman" w:cs="Times New Roman" w:ascii="Lithos Pro Regular" w:hAnsi="Lithos Pro Regular"/>
          <w:bCs/>
          <w:color w:val="333333"/>
          <w:sz w:val="32"/>
          <w:szCs w:val="32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Lithos Pro Regular" w:hAnsi="Lithos Pro Regular" w:eastAsia="Times New Roman" w:cs="Times New Roman"/>
          <w:bCs/>
          <w:color w:val="333333"/>
          <w:sz w:val="32"/>
          <w:szCs w:val="32"/>
          <w:lang w:eastAsia="es-ES"/>
        </w:rPr>
      </w:pPr>
      <w:r>
        <w:rPr>
          <w:rFonts w:eastAsia="Times New Roman" w:cs="Times New Roman" w:ascii="Lithos Pro Regular" w:hAnsi="Lithos Pro Regular"/>
          <w:bCs/>
          <w:color w:val="333333"/>
          <w:sz w:val="32"/>
          <w:szCs w:val="32"/>
          <w:lang w:eastAsia="es-ES"/>
        </w:rPr>
        <w:t>3.- colaboradores externos del Programa.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jc w:val="both"/>
        <w:rPr/>
      </w:pPr>
      <w:r>
        <w:rPr>
          <w:rFonts w:eastAsia="Times New Roman" w:cs="Times New Roman" w:ascii="Verdana" w:hAnsi="Verdana"/>
          <w:b/>
          <w:bCs/>
          <w:color w:val="333333"/>
          <w:sz w:val="21"/>
          <w:szCs w:val="21"/>
          <w:lang w:eastAsia="es-ES"/>
        </w:rPr>
        <w:t>Santiago Campuzano Guerrero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Licenciado en Historia del Arte por la Universidad de Sevilla, especialidad de Museos y Patrimonio. Experto en Gestión Cultural. Fue conservador del Museo de la Autonomía de Andalucía y responsable de exposiciones temporales. También ha sido responsable de exposiciones en la implantación de la nueva museografía y plan director del Pabellón de la Navegación de Sevilla. Profesor de la Universidad Pablo de Olavide de Sevilla.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jc w:val="both"/>
        <w:rPr/>
      </w:pPr>
      <w:r>
        <w:rPr>
          <w:rFonts w:eastAsia="Times New Roman" w:cs="Times New Roman" w:ascii="Verdana" w:hAnsi="Verdana"/>
          <w:b/>
          <w:bCs/>
          <w:color w:val="333333"/>
          <w:sz w:val="21"/>
          <w:szCs w:val="21"/>
          <w:lang w:eastAsia="es-ES"/>
        </w:rPr>
        <w:t>Agustín García Lázaro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Diplomado en Magisterio y Licenciado en Ciencias de la Educación. Ha sido profesor de Enseñanza General Básica, de Enseñanza Secundaria y de la Universidad de Cádiz. Ha participado en diferentes Proyectos de Investigación vinculados a la Universidad de Cádiz, UNED y Universidad de Sevilla, relacionados con la Formación del Profesorado y la Didáctica.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Autor y coautor de libros, guías didácticas y publicaciones divulgativas de temas relacionados con la educación ambiental y el patrimonio. Entre otros: Itinerarios Didácticos por la Sierra de Grazalema y Ubrique (Univ. de Cádiz, 1983), Cuadernos de Jerez: El Guadalete (Ayuntamiento de Jerez, 1989), Guía Naturalista de la Sierra Norte (Diputación de Cádiz, 1990), Álbum del Patrimonio de Jerez (1992), Cuadernos de Jerez: Parques y Jardines (Ayuntamiento de Jerez, (1993), El Guadalete empieza a vivir (FEPG-Consejería de Obras Públicas, 1996), Al hilo del Guadalete (Consejería de M. Ambiente J. de Andalucía, 2011) y Río Guadalete (Consejería de M. Ambiente J. de Andalucía, 2015). Es coautor del blog ENTORNOAJEREZ, que publica desde hace diez años y colaborador habitual de Diario de Jerez.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Miembro del Centro de Estudios Históricos Jerezanos (CEHJ), del Grupo de Historia Cultura y Patrimonio Rural (HCPR), de la Sociedad Gaditana de Historia Natural (SGHN) y de Ecologistas en Acción (EA). Defensor de la Ciudadanía de Jerez 2004-2008. Premio Especial Ciudad de Jerez 2008.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jc w:val="both"/>
        <w:rPr/>
      </w:pPr>
      <w:r>
        <w:rPr>
          <w:rFonts w:eastAsia="Times New Roman" w:cs="Times New Roman" w:ascii="Verdana" w:hAnsi="Verdana"/>
          <w:b/>
          <w:bCs/>
          <w:color w:val="333333"/>
          <w:sz w:val="21"/>
          <w:szCs w:val="21"/>
          <w:lang w:eastAsia="es-ES"/>
        </w:rPr>
        <w:t>Francisco Perujo Serrano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Responsable académico del Máster Interuniversitario en Investigación y Análisis del Flamenco y profesor doctor universitario.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b/>
          <w:b/>
          <w:b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b/>
          <w:bCs/>
          <w:color w:val="333333"/>
          <w:sz w:val="21"/>
          <w:szCs w:val="21"/>
          <w:lang w:eastAsia="es-ES"/>
        </w:rPr>
        <w:t>Dña. Miriam Almagro Parrado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Graduada en Administración y Dirección de Empresas por la Universidad de Cádiz y especializada en Fiscalidad y Tributación (Máster Universidad Oberta de Cataluña). Técnico del Departamento de Consultoría y Proyectos de CEEI Bahía de Cádiz, donde ha venido desarrollando su carrera profesional desde 2018. Inicialmente, vinculada al Departamento Financiero realizando diversas funciones en el Área de Contabilidad y Administración de Empresas y actualmente, vinculada al Departamento de Consultoría y Proyectos Europeos, donde además de prestar asesoramiento a Personas Autónomas, Pymes y Emprendedores, realizando Planes de Negocio, Estudios de Viabilidad Económico-Financiera, Gestión de solicitudes de financiación pública, entre otras funciones, participa en la implementación y gestión de proyectos europeos.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/>
          <w:color w:val="333333"/>
          <w:sz w:val="21"/>
          <w:szCs w:val="21"/>
          <w:lang w:eastAsia="es-ES"/>
        </w:rPr>
      </w:pPr>
      <w:r>
        <w:rPr>
          <w:rFonts w:eastAsia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b/>
          <w:b/>
          <w:b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b/>
          <w:bCs/>
          <w:color w:val="333333"/>
          <w:sz w:val="21"/>
          <w:szCs w:val="21"/>
          <w:lang w:eastAsia="es-ES"/>
        </w:rPr>
        <w:t>Francisco Antonio García Márquez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Licenciado en Administración y Dirección de Empresas y Máster en Economía y Desarrollo Territorial y en Educación Secundaria por la Universidad de Cádiz. En la actualidad, es estudiante del programa de doctorado en Administración de empresas y entorno económico en esa misma universidad.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Su labor profesional la realiza entre el CFP Rumasa de Jerez de la Frontera y el Centro Asociado de la UNED de Cádiz, en donde imparte materias relacionadas con la economía, el turismo, la administración y el comercio. Además, ocupa el puesto de coordinador del Centro de orientación y empleo en dicho centro universitario y es ponente habitual en los cursos de formación que ofrece la asociación de consumidores Adicae en varias de sus delegaciones en Andalucía.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Autor de diferentes artículos científicos en los que se analiza el papel del deporte, las infraestructuras o las fiestas populares como indicadores en el desarrollo de los territorios. Ocupa actualmente el cargo de Tesorero en la Hermandad de Loreto de Jerez de la Frontera.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rPr>
          <w:rFonts w:ascii="Verdana" w:hAnsi="Verdana" w:eastAsia="Times New Roman" w:cs="Times New Roman"/>
          <w:b/>
          <w:b/>
          <w:bCs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b/>
          <w:bCs/>
          <w:color w:val="333333"/>
          <w:sz w:val="21"/>
          <w:szCs w:val="21"/>
          <w:lang w:eastAsia="es-ES"/>
        </w:rPr>
        <w:t>Teresa Suárez Martín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Periodista especializada en comunicación corporativa 360º y marketing en Social Media. Consultora independiente y responsable de comunicación, marketing y desarrollo de producto en Opileak. También gestiona acciones y planes de comunicación y marketing B2B para entidades como PCT Cartuja, y para startups como OpenWebinars, AdWalk y Quodus.ai.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 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  <w:t>Docente en universidades, empresas y escuelas de negocio sobre planificación y gestión de redes sociales, marketing online, entornos digitales para los negocios y marca personal. Mentora de emprendedores en Startup Weekend Sevilla de Up Global y cofundadora de la asociación Sevilla UP. DEA y Máster en Comunicación Corporativa y Periodismo Global.</w:t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jc w:val="both"/>
        <w:rPr>
          <w:rFonts w:ascii="Verdana" w:hAnsi="Verdana" w:eastAsia="Times New Roman" w:cs="Times New Roman"/>
          <w:color w:val="333333"/>
          <w:sz w:val="21"/>
          <w:szCs w:val="21"/>
          <w:lang w:eastAsia="es-ES"/>
        </w:rPr>
      </w:pPr>
      <w:r>
        <w:rPr>
          <w:rFonts w:eastAsia="Times New Roman" w:cs="Times New Roman" w:ascii="Verdana" w:hAnsi="Verdana"/>
          <w:color w:val="333333"/>
          <w:sz w:val="21"/>
          <w:szCs w:val="21"/>
          <w:lang w:eastAsia="es-ES"/>
        </w:rPr>
      </w:r>
    </w:p>
    <w:p>
      <w:pPr>
        <w:pStyle w:val="Normal"/>
        <w:shd w:val="clear" w:color="auto" w:fill="FFFFFF"/>
        <w:spacing w:lineRule="auto" w:line="240" w:before="0" w:after="23"/>
        <w:jc w:val="both"/>
        <w:rPr/>
      </w:pPr>
      <w:r>
        <w:rPr/>
      </w:r>
    </w:p>
    <w:sectPr>
      <w:headerReference w:type="default" r:id="rId4"/>
      <w:footerReference w:type="default" r:id="rId5"/>
      <w:type w:val="nextPage"/>
      <w:pgSz w:w="11906" w:h="16838"/>
      <w:pgMar w:left="1701" w:right="1701" w:header="708" w:top="1417" w:footer="0" w:bottom="1417" w:gutter="0"/>
      <w:pgNumType w:start="0"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Verdan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Lithos Pro Regular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458291669"/>
    </w:sdtPr>
    <w:sdtContent>
      <w:p>
        <w:pPr>
          <w:pStyle w:val="Piedepgina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8</w:t>
        </w:r>
        <w:r>
          <w:rPr/>
          <w:fldChar w:fldCharType="end"/>
        </w:r>
      </w:p>
    </w:sdtContent>
  </w:sdt>
  <w:p>
    <w:pPr>
      <w:pStyle w:val="Piedepgin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jc w:val="cent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ES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basedOn w:val="DefaultParagraphFont"/>
    <w:uiPriority w:val="22"/>
    <w:qFormat/>
    <w:rsid w:val="001a548e"/>
    <w:rPr>
      <w:b/>
      <w:bCs/>
    </w:rPr>
  </w:style>
  <w:style w:type="character" w:styleId="Destacado" w:customStyle="1">
    <w:name w:val="Destacado"/>
    <w:basedOn w:val="DefaultParagraphFont"/>
    <w:uiPriority w:val="20"/>
    <w:qFormat/>
    <w:rsid w:val="001a548e"/>
    <w:rPr>
      <w:i/>
      <w:iCs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1a548e"/>
    <w:rPr>
      <w:rFonts w:ascii="Segoe UI" w:hAnsi="Segoe UI" w:cs="Segoe UI"/>
      <w:sz w:val="18"/>
      <w:szCs w:val="18"/>
    </w:rPr>
  </w:style>
  <w:style w:type="character" w:styleId="EncabezadoCar" w:customStyle="1">
    <w:name w:val="Encabezado Car"/>
    <w:basedOn w:val="DefaultParagraphFont"/>
    <w:link w:val="Encabezado"/>
    <w:qFormat/>
    <w:rsid w:val="00af7300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af7300"/>
    <w:rPr/>
  </w:style>
  <w:style w:type="character" w:styleId="EnlacedeInternet" w:customStyle="1">
    <w:name w:val="Enlace de Internet"/>
    <w:basedOn w:val="DefaultParagraphFont"/>
    <w:uiPriority w:val="99"/>
    <w:semiHidden/>
    <w:unhideWhenUsed/>
    <w:rsid w:val="0081290f"/>
    <w:rPr>
      <w:color w:val="0000FF"/>
      <w:u w:val="single"/>
    </w:rPr>
  </w:style>
  <w:style w:type="character" w:styleId="ListLabel1" w:customStyle="1">
    <w:name w:val="ListLabel 1"/>
    <w:qFormat/>
    <w:rPr>
      <w:rFonts w:cs="Courier New"/>
    </w:rPr>
  </w:style>
  <w:style w:type="character" w:styleId="ListLabel2" w:customStyle="1">
    <w:name w:val="ListLabel 2"/>
    <w:qFormat/>
    <w:rPr>
      <w:rFonts w:cs="Courier New"/>
    </w:rPr>
  </w:style>
  <w:style w:type="character" w:styleId="ListLabel3" w:customStyle="1">
    <w:name w:val="ListLabel 3"/>
    <w:qFormat/>
    <w:rPr>
      <w:rFonts w:cs="Courier New"/>
    </w:rPr>
  </w:style>
  <w:style w:type="character" w:styleId="ListLabel4" w:customStyle="1">
    <w:name w:val="ListLabel 4"/>
    <w:qFormat/>
    <w:rPr>
      <w:rFonts w:cs="Courier New"/>
    </w:rPr>
  </w:style>
  <w:style w:type="character" w:styleId="ListLabel5" w:customStyle="1">
    <w:name w:val="ListLabel 5"/>
    <w:qFormat/>
    <w:rPr>
      <w:rFonts w:cs="Courier New"/>
    </w:rPr>
  </w:style>
  <w:style w:type="character" w:styleId="ListLabel6" w:customStyle="1">
    <w:name w:val="ListLabel 6"/>
    <w:qFormat/>
    <w:rPr>
      <w:rFonts w:cs="Courier New"/>
    </w:rPr>
  </w:style>
  <w:style w:type="character" w:styleId="ListLabel7" w:customStyle="1">
    <w:name w:val="ListLabel 7"/>
    <w:qFormat/>
    <w:rPr>
      <w:rFonts w:cs="Courier New"/>
    </w:rPr>
  </w:style>
  <w:style w:type="character" w:styleId="ListLabel8" w:customStyle="1">
    <w:name w:val="ListLabel 8"/>
    <w:qFormat/>
    <w:rPr>
      <w:rFonts w:cs="Courier New"/>
    </w:rPr>
  </w:style>
  <w:style w:type="character" w:styleId="ListLabel9" w:customStyle="1">
    <w:name w:val="ListLabel 9"/>
    <w:qFormat/>
    <w:rPr>
      <w:rFonts w:cs="Courier New"/>
    </w:rPr>
  </w:style>
  <w:style w:type="character" w:styleId="ListLabel10" w:customStyle="1">
    <w:name w:val="ListLabel 10"/>
    <w:qFormat/>
    <w:rPr>
      <w:rFonts w:cs="Courier New"/>
    </w:rPr>
  </w:style>
  <w:style w:type="character" w:styleId="ListLabel11" w:customStyle="1">
    <w:name w:val="ListLabel 11"/>
    <w:qFormat/>
    <w:rPr>
      <w:rFonts w:cs="Courier New"/>
    </w:rPr>
  </w:style>
  <w:style w:type="character" w:styleId="ListLabel12" w:customStyle="1">
    <w:name w:val="ListLabel 12"/>
    <w:qFormat/>
    <w:rPr>
      <w:rFonts w:cs="Courier New"/>
    </w:rPr>
  </w:style>
  <w:style w:type="character" w:styleId="ListLabel13" w:customStyle="1">
    <w:name w:val="ListLabel 13"/>
    <w:qFormat/>
    <w:rPr>
      <w:rFonts w:cs="Courier New"/>
    </w:rPr>
  </w:style>
  <w:style w:type="character" w:styleId="ListLabel14" w:customStyle="1">
    <w:name w:val="ListLabel 14"/>
    <w:qFormat/>
    <w:rPr>
      <w:rFonts w:cs="Courier New"/>
    </w:rPr>
  </w:style>
  <w:style w:type="character" w:styleId="ListLabel15" w:customStyle="1">
    <w:name w:val="ListLabel 15"/>
    <w:qFormat/>
    <w:rPr>
      <w:rFonts w:cs="Courier New"/>
    </w:rPr>
  </w:style>
  <w:style w:type="character" w:styleId="ListLabel16" w:customStyle="1">
    <w:name w:val="ListLabel 16"/>
    <w:qFormat/>
    <w:rPr>
      <w:rFonts w:cs="Courier New"/>
    </w:rPr>
  </w:style>
  <w:style w:type="character" w:styleId="ListLabel17" w:customStyle="1">
    <w:name w:val="ListLabel 17"/>
    <w:qFormat/>
    <w:rPr>
      <w:rFonts w:cs="Courier New"/>
    </w:rPr>
  </w:style>
  <w:style w:type="character" w:styleId="ListLabel18" w:customStyle="1">
    <w:name w:val="ListLabel 18"/>
    <w:qFormat/>
    <w:rPr>
      <w:rFonts w:cs="Courier New"/>
    </w:rPr>
  </w:style>
  <w:style w:type="character" w:styleId="ListLabel19" w:customStyle="1">
    <w:name w:val="ListLabel 19"/>
    <w:qFormat/>
    <w:rPr>
      <w:rFonts w:ascii="Verdana" w:hAnsi="Verdana"/>
      <w:sz w:val="21"/>
      <w:szCs w:val="21"/>
    </w:rPr>
  </w:style>
  <w:style w:type="character" w:styleId="ListLabel20" w:customStyle="1">
    <w:name w:val="ListLabel 20"/>
    <w:qFormat/>
    <w:rPr>
      <w:rFonts w:ascii="Verdana" w:hAnsi="Verdana"/>
    </w:rPr>
  </w:style>
  <w:style w:type="character" w:styleId="SinespaciadoCar" w:customStyle="1">
    <w:name w:val="Sin espaciado Car"/>
    <w:basedOn w:val="DefaultParagraphFont"/>
    <w:link w:val="Sinespaciado"/>
    <w:uiPriority w:val="1"/>
    <w:qFormat/>
    <w:rsid w:val="00bc58ae"/>
    <w:rPr>
      <w:rFonts w:eastAsia="" w:eastAsiaTheme="minorEastAsia"/>
      <w:lang w:eastAsia="es-ES"/>
    </w:rPr>
  </w:style>
  <w:style w:type="character" w:styleId="ListLabel21">
    <w:name w:val="ListLabel 21"/>
    <w:qFormat/>
    <w:rPr>
      <w:rFonts w:cs="Wingdings"/>
    </w:rPr>
  </w:style>
  <w:style w:type="character" w:styleId="ListLabel22">
    <w:name w:val="ListLabel 22"/>
    <w:qFormat/>
    <w:rPr>
      <w:rFonts w:cs="Courier New"/>
    </w:rPr>
  </w:style>
  <w:style w:type="character" w:styleId="ListLabel23">
    <w:name w:val="ListLabel 23"/>
    <w:qFormat/>
    <w:rPr>
      <w:rFonts w:cs="Wingdings"/>
    </w:rPr>
  </w:style>
  <w:style w:type="character" w:styleId="ListLabel24">
    <w:name w:val="ListLabel 24"/>
    <w:qFormat/>
    <w:rPr>
      <w:rFonts w:cs="Symbol"/>
    </w:rPr>
  </w:style>
  <w:style w:type="character" w:styleId="ListLabel25">
    <w:name w:val="ListLabel 25"/>
    <w:qFormat/>
    <w:rPr>
      <w:rFonts w:cs="Courier New"/>
    </w:rPr>
  </w:style>
  <w:style w:type="character" w:styleId="ListLabel26">
    <w:name w:val="ListLabel 26"/>
    <w:qFormat/>
    <w:rPr>
      <w:rFonts w:cs="Wingdings"/>
    </w:rPr>
  </w:style>
  <w:style w:type="character" w:styleId="ListLabel27">
    <w:name w:val="ListLabel 27"/>
    <w:qFormat/>
    <w:rPr>
      <w:rFonts w:cs="Symbol"/>
    </w:rPr>
  </w:style>
  <w:style w:type="character" w:styleId="ListLabel28">
    <w:name w:val="ListLabel 28"/>
    <w:qFormat/>
    <w:rPr>
      <w:rFonts w:cs="Courier New"/>
    </w:rPr>
  </w:style>
  <w:style w:type="character" w:styleId="ListLabel29">
    <w:name w:val="ListLabel 29"/>
    <w:qFormat/>
    <w:rPr>
      <w:rFonts w:cs="Wingdings"/>
    </w:rPr>
  </w:style>
  <w:style w:type="character" w:styleId="ListLabel30">
    <w:name w:val="ListLabel 30"/>
    <w:qFormat/>
    <w:rPr>
      <w:rFonts w:cs="Courier New"/>
    </w:rPr>
  </w:style>
  <w:style w:type="character" w:styleId="ListLabel31">
    <w:name w:val="ListLabel 31"/>
    <w:qFormat/>
    <w:rPr>
      <w:rFonts w:cs="Wingdings"/>
    </w:rPr>
  </w:style>
  <w:style w:type="character" w:styleId="ListLabel32">
    <w:name w:val="ListLabel 32"/>
    <w:qFormat/>
    <w:rPr>
      <w:rFonts w:cs="Symbol"/>
    </w:rPr>
  </w:style>
  <w:style w:type="character" w:styleId="ListLabel33">
    <w:name w:val="ListLabel 33"/>
    <w:qFormat/>
    <w:rPr>
      <w:rFonts w:cs="Courier New"/>
    </w:rPr>
  </w:style>
  <w:style w:type="character" w:styleId="ListLabel34">
    <w:name w:val="ListLabel 34"/>
    <w:qFormat/>
    <w:rPr>
      <w:rFonts w:cs="Wingdings"/>
    </w:rPr>
  </w:style>
  <w:style w:type="character" w:styleId="ListLabel35">
    <w:name w:val="ListLabel 35"/>
    <w:qFormat/>
    <w:rPr>
      <w:rFonts w:cs="Symbol"/>
    </w:rPr>
  </w:style>
  <w:style w:type="character" w:styleId="ListLabel36">
    <w:name w:val="ListLabel 36"/>
    <w:qFormat/>
    <w:rPr>
      <w:rFonts w:cs="Courier New"/>
    </w:rPr>
  </w:style>
  <w:style w:type="character" w:styleId="ListLabel37">
    <w:name w:val="ListLabel 37"/>
    <w:qFormat/>
    <w:rPr>
      <w:rFonts w:cs="Wingdings"/>
    </w:rPr>
  </w:style>
  <w:style w:type="character" w:styleId="ListLabel38">
    <w:name w:val="ListLabel 38"/>
    <w:qFormat/>
    <w:rPr>
      <w:rFonts w:cs="Courier New"/>
    </w:rPr>
  </w:style>
  <w:style w:type="character" w:styleId="ListLabel39">
    <w:name w:val="ListLabel 39"/>
    <w:qFormat/>
    <w:rPr>
      <w:rFonts w:cs="Wingdings"/>
    </w:rPr>
  </w:style>
  <w:style w:type="character" w:styleId="ListLabel40">
    <w:name w:val="ListLabel 40"/>
    <w:qFormat/>
    <w:rPr>
      <w:rFonts w:cs="Symbol"/>
    </w:rPr>
  </w:style>
  <w:style w:type="character" w:styleId="ListLabel41">
    <w:name w:val="ListLabel 41"/>
    <w:qFormat/>
    <w:rPr>
      <w:rFonts w:cs="Courier New"/>
    </w:rPr>
  </w:style>
  <w:style w:type="character" w:styleId="ListLabel42">
    <w:name w:val="ListLabel 42"/>
    <w:qFormat/>
    <w:rPr>
      <w:rFonts w:cs="Wingdings"/>
    </w:rPr>
  </w:style>
  <w:style w:type="character" w:styleId="ListLabel43">
    <w:name w:val="ListLabel 43"/>
    <w:qFormat/>
    <w:rPr>
      <w:rFonts w:cs="Symbol"/>
    </w:rPr>
  </w:style>
  <w:style w:type="character" w:styleId="ListLabel44">
    <w:name w:val="ListLabel 44"/>
    <w:qFormat/>
    <w:rPr>
      <w:rFonts w:cs="Courier New"/>
    </w:rPr>
  </w:style>
  <w:style w:type="character" w:styleId="ListLabel45">
    <w:name w:val="ListLabel 45"/>
    <w:qFormat/>
    <w:rPr>
      <w:rFonts w:cs="Wingdings"/>
    </w:rPr>
  </w:style>
  <w:style w:type="character" w:styleId="ListLabel46">
    <w:name w:val="ListLabel 46"/>
    <w:qFormat/>
    <w:rPr>
      <w:rFonts w:ascii="Verdana" w:hAnsi="Verdana"/>
      <w:sz w:val="21"/>
      <w:szCs w:val="21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1" w:customStyle="1">
    <w:name w:val="Título1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ormalWeb">
    <w:name w:val="Normal (Web)"/>
    <w:basedOn w:val="Normal"/>
    <w:unhideWhenUsed/>
    <w:qFormat/>
    <w:rsid w:val="001a548e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es-ES"/>
    </w:rPr>
  </w:style>
  <w:style w:type="paragraph" w:styleId="Textjustify" w:customStyle="1">
    <w:name w:val="text-justify"/>
    <w:basedOn w:val="Normal"/>
    <w:qFormat/>
    <w:rsid w:val="001a548e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es-ES"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1a548e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abecera">
    <w:name w:val="Header"/>
    <w:basedOn w:val="Normal"/>
    <w:link w:val="EncabezadoCar"/>
    <w:unhideWhenUsed/>
    <w:rsid w:val="00af7300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iedepginaCar"/>
    <w:uiPriority w:val="99"/>
    <w:unhideWhenUsed/>
    <w:rsid w:val="00af7300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qFormat/>
    <w:rsid w:val="008a5e3f"/>
    <w:pPr>
      <w:spacing w:before="0" w:after="160"/>
      <w:ind w:left="720" w:hanging="0"/>
      <w:contextualSpacing/>
    </w:pPr>
    <w:rPr/>
  </w:style>
  <w:style w:type="paragraph" w:styleId="NoSpacing">
    <w:name w:val="No Spacing"/>
    <w:link w:val="SinespaciadoCar"/>
    <w:uiPriority w:val="1"/>
    <w:qFormat/>
    <w:rsid w:val="00bc58ae"/>
    <w:pPr>
      <w:widowControl/>
      <w:bidi w:val="0"/>
      <w:jc w:val="left"/>
    </w:pPr>
    <w:rPr>
      <w:rFonts w:eastAsia="" w:eastAsiaTheme="minorEastAsia" w:ascii="Calibri" w:hAnsi="Calibri" w:cs=""/>
      <w:color w:val="auto"/>
      <w:kern w:val="0"/>
      <w:sz w:val="22"/>
      <w:szCs w:val="22"/>
      <w:lang w:eastAsia="es-ES" w:val="es-E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://www.jerez.es/emprendimiento/formacion/patrimoniojerez/" TargetMode="Externa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967E47-2C94-46E5-95C6-6A5E1C105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Application>LibreOffice/6.2.7.1$Windows_X86_64 LibreOffice_project/23edc44b61b830b7d749943e020e96f5a7df63bf</Application>
  <Pages>13</Pages>
  <Words>2302</Words>
  <Characters>13178</Characters>
  <CharactersWithSpaces>15365</CharactersWithSpaces>
  <Paragraphs>116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2019-12-11T10:26:00Z</dcterms:created>
  <dc:creator>Francisco Pleguezuelo Pernudo</dc:creator>
  <dc:description/>
  <dc:language>es-ES</dc:language>
  <cp:lastModifiedBy>Francisco Pleguezuelo Pernudo</cp:lastModifiedBy>
  <cp:lastPrinted>2020-01-08T12:23:00Z</cp:lastPrinted>
  <dcterms:modified xsi:type="dcterms:W3CDTF">2022-02-01T13:15:00Z</dcterms:modified>
  <cp:revision>93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