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rFonts w:ascii="Arial" w:hAnsi="Arial" w:cs="Arial"/>
          <w:b/>
          <w:b/>
          <w:bCs/>
          <w:sz w:val="36"/>
          <w:szCs w:val="40"/>
        </w:rPr>
      </w:pPr>
      <w:r>
        <w:rPr>
          <w:rFonts w:cs="Arial" w:ascii="Arial" w:hAnsi="Arial"/>
          <w:b/>
          <w:bCs/>
          <w:sz w:val="36"/>
          <w:szCs w:val="40"/>
        </w:rPr>
        <w:t>El Ayuntamiento impulsa una nueva edición de la Campaña del Padre Igualitario con el lema ‘Mi papá me dedica su tiempo’</w:t>
      </w:r>
    </w:p>
    <w:p>
      <w:pPr>
        <w:pStyle w:val="Cuerpodetexto"/>
        <w:spacing w:lineRule="auto" w:line="240"/>
        <w:rPr>
          <w:sz w:val="22"/>
        </w:rPr>
      </w:pPr>
      <w:r>
        <w:rPr>
          <w:sz w:val="22"/>
        </w:rPr>
      </w:r>
    </w:p>
    <w:p>
      <w:pPr>
        <w:pStyle w:val="Cuerpodetexto"/>
        <w:spacing w:lineRule="auto" w:line="240" w:before="0" w:after="140"/>
        <w:jc w:val="both"/>
        <w:rPr>
          <w:rFonts w:ascii="Arial" w:hAnsi="Arial" w:cs="Arial"/>
        </w:rPr>
      </w:pPr>
      <w:r>
        <w:rPr>
          <w:rFonts w:cs="Arial" w:ascii="Arial" w:hAnsi="Arial"/>
          <w:b/>
          <w:bCs/>
          <w:sz w:val="26"/>
          <w:szCs w:val="26"/>
        </w:rPr>
        <w:t>14 de marzo de 2022.</w:t>
      </w:r>
      <w:r>
        <w:rPr>
          <w:rFonts w:cs="Arial" w:ascii="Arial" w:hAnsi="Arial"/>
          <w:sz w:val="26"/>
          <w:szCs w:val="26"/>
        </w:rPr>
        <w:t xml:space="preserve"> El Ayuntamiento de Jerez convoca un año más una actividad dirigida a la sensibilización en Igualdad de la ciudadanía con motivo del Día del Padre. La Delegación de Igualdad y Diversidad impulsa la XX Campaña del Padre Igualitario ‘Mi papá me dedica su tiempo’, con la que se invita a niños y niñas a hacer un dibujo en el que reflejen esa relación con sus progenitores, visibilizando esas paternidades cuidadoras. </w:t>
      </w:r>
      <w:r>
        <w:rPr>
          <w:rFonts w:eastAsia="Times New Roman" w:cs="Arial" w:ascii="Arial" w:hAnsi="Arial"/>
          <w:b w:val="false"/>
          <w:bCs w:val="false"/>
          <w:color w:val="auto"/>
          <w:kern w:val="2"/>
          <w:sz w:val="26"/>
          <w:szCs w:val="26"/>
          <w:lang w:val="es-ES" w:eastAsia="zh-CN" w:bidi="ar-SA"/>
        </w:rPr>
        <w:t>Se</w:t>
        <w:br/>
        <w:t xml:space="preserve">valorará tanto la calidad pictórica como la originalidad y mensaje igualitario del dibujo. Esta actividad se enmarca en la programación anual del  Programa Municipal Hombres por la Igualdad. </w:t>
      </w:r>
    </w:p>
    <w:p>
      <w:pPr>
        <w:pStyle w:val="Cuerpodetexto"/>
        <w:spacing w:lineRule="auto" w:line="240" w:before="0" w:after="140"/>
        <w:jc w:val="both"/>
        <w:rPr>
          <w:rFonts w:ascii="Arial" w:hAnsi="Arial" w:cs="Arial"/>
        </w:rPr>
      </w:pPr>
      <w:r>
        <w:rPr>
          <w:rFonts w:eastAsia="Times New Roman" w:cs="Arial" w:ascii="Arial;serif" w:hAnsi="Arial;serif"/>
          <w:b w:val="false"/>
          <w:bCs w:val="false"/>
          <w:color w:val="000000"/>
          <w:kern w:val="2"/>
          <w:sz w:val="26"/>
          <w:szCs w:val="26"/>
          <w:lang w:val="es-ES" w:eastAsia="zh-CN" w:bidi="ar-SA"/>
        </w:rPr>
        <w:t>La XX Campaña Día del Padre Igualitario “Mi papá me dedica su tiempo” impulsa la erradicación de estereotipos sexistas y favorece la construcción de un mundo en plena igualdad de oportunidades, derechos y deberes entre mujeres y hombres. Este certamen pretende reflejar</w:t>
      </w:r>
      <w:r>
        <w:rPr>
          <w:rFonts w:eastAsia="Times New Roman" w:cs="Arial" w:ascii="Arial" w:hAnsi="Arial"/>
          <w:b w:val="false"/>
          <w:bCs w:val="false"/>
          <w:color w:val="000000"/>
          <w:kern w:val="2"/>
          <w:sz w:val="26"/>
          <w:szCs w:val="26"/>
          <w:lang w:val="es-ES" w:eastAsia="zh-CN" w:bidi="ar-SA"/>
        </w:rPr>
        <w:t xml:space="preserve"> </w:t>
      </w:r>
      <w:r>
        <w:rPr>
          <w:rFonts w:eastAsia="Times New Roman" w:cs="Arial" w:ascii="Arial;serif" w:hAnsi="Arial;serif"/>
          <w:b w:val="false"/>
          <w:bCs w:val="false"/>
          <w:color w:val="000000"/>
          <w:kern w:val="2"/>
          <w:sz w:val="26"/>
          <w:szCs w:val="26"/>
          <w:lang w:val="es-ES" w:eastAsia="zh-CN" w:bidi="ar-SA"/>
        </w:rPr>
        <w:t>a través del dibujo el</w:t>
        <w:br/>
        <w:t>cambio de los hombres hacia actitudes igualitarias mostrando</w:t>
      </w:r>
      <w:r>
        <w:rPr>
          <w:rFonts w:eastAsia="Times New Roman" w:cs="Arial" w:ascii="Arial" w:hAnsi="Arial"/>
          <w:b w:val="false"/>
          <w:bCs w:val="false"/>
          <w:color w:val="000000"/>
          <w:kern w:val="2"/>
          <w:sz w:val="26"/>
          <w:szCs w:val="26"/>
          <w:lang w:val="es-ES" w:eastAsia="zh-CN" w:bidi="ar-SA"/>
        </w:rPr>
        <w:t xml:space="preserve"> </w:t>
      </w:r>
      <w:r>
        <w:rPr>
          <w:rFonts w:eastAsia="Times New Roman" w:cs="Arial" w:ascii="Arial;serif" w:hAnsi="Arial;serif"/>
          <w:b w:val="false"/>
          <w:bCs w:val="false"/>
          <w:color w:val="000000"/>
          <w:kern w:val="2"/>
          <w:sz w:val="26"/>
          <w:szCs w:val="26"/>
          <w:lang w:val="es-ES" w:eastAsia="zh-CN" w:bidi="ar-SA"/>
        </w:rPr>
        <w:t>cómo son y qué valores asumen los hombres que construyen igualdad con las mujeres sin ningún tipo de estereotipo sexista. El certamen promueve la visibilidad de los hombres implicados activamente en la crianza, cuidados de las personas, del hogar y de la vida en general, a través de un dibujo conjunto de los</w:t>
      </w:r>
      <w:r>
        <w:rPr>
          <w:rFonts w:eastAsia="Times New Roman" w:cs="Arial" w:ascii="Arial" w:hAnsi="Arial"/>
          <w:b w:val="false"/>
          <w:bCs w:val="false"/>
          <w:color w:val="000000"/>
          <w:kern w:val="2"/>
          <w:sz w:val="26"/>
          <w:szCs w:val="26"/>
          <w:lang w:val="es-ES" w:eastAsia="zh-CN" w:bidi="ar-SA"/>
        </w:rPr>
        <w:t xml:space="preserve"> </w:t>
      </w:r>
      <w:r>
        <w:rPr>
          <w:rFonts w:eastAsia="Times New Roman" w:cs="Arial" w:ascii="Arial;serif" w:hAnsi="Arial;serif"/>
          <w:b w:val="false"/>
          <w:bCs w:val="false"/>
          <w:color w:val="000000"/>
          <w:kern w:val="2"/>
          <w:sz w:val="26"/>
          <w:szCs w:val="26"/>
          <w:lang w:val="es-ES" w:eastAsia="zh-CN" w:bidi="ar-SA"/>
        </w:rPr>
        <w:t>niños y niñas con sus papás y</w:t>
      </w:r>
      <w:r>
        <w:rPr>
          <w:rFonts w:eastAsia="Times New Roman" w:cs="Arial" w:ascii="Arial" w:hAnsi="Arial"/>
          <w:b w:val="false"/>
          <w:bCs w:val="false"/>
          <w:color w:val="000000"/>
          <w:kern w:val="2"/>
          <w:sz w:val="26"/>
          <w:szCs w:val="26"/>
          <w:lang w:val="es-ES" w:eastAsia="zh-CN" w:bidi="ar-SA"/>
        </w:rPr>
        <w:t xml:space="preserve"> </w:t>
      </w:r>
      <w:r>
        <w:rPr>
          <w:rFonts w:eastAsia="Times New Roman" w:cs="Arial" w:ascii="Arial;serif" w:hAnsi="Arial;serif"/>
          <w:b w:val="false"/>
          <w:bCs w:val="false"/>
          <w:color w:val="000000"/>
          <w:kern w:val="2"/>
          <w:sz w:val="26"/>
          <w:szCs w:val="26"/>
          <w:lang w:val="es-ES" w:eastAsia="zh-CN" w:bidi="ar-SA"/>
        </w:rPr>
        <w:t xml:space="preserve">hombres cuidadores. </w:t>
      </w:r>
    </w:p>
    <w:p>
      <w:pPr>
        <w:pStyle w:val="Cuerpodetexto"/>
        <w:spacing w:lineRule="auto" w:line="240" w:before="0" w:after="140"/>
        <w:jc w:val="both"/>
        <w:rPr>
          <w:rFonts w:ascii="Arial" w:hAnsi="Arial" w:eastAsia="Times New Roman" w:cs="Arial"/>
          <w:b w:val="false"/>
          <w:b w:val="false"/>
          <w:bCs w:val="false"/>
          <w:color w:val="auto"/>
          <w:kern w:val="2"/>
          <w:sz w:val="26"/>
          <w:szCs w:val="26"/>
          <w:lang w:val="es-ES" w:eastAsia="zh-CN" w:bidi="ar-SA"/>
        </w:rPr>
      </w:pPr>
      <w:r>
        <w:rPr>
          <w:rFonts w:eastAsia="Times New Roman" w:cs="Arial" w:ascii="Arial" w:hAnsi="Arial"/>
          <w:b w:val="false"/>
          <w:bCs w:val="false"/>
          <w:color w:val="auto"/>
          <w:kern w:val="2"/>
          <w:sz w:val="26"/>
          <w:szCs w:val="26"/>
          <w:lang w:val="es-ES" w:eastAsia="zh-CN" w:bidi="ar-SA"/>
        </w:rPr>
        <w:br/>
        <w:t>La actividad se divide en cuatro categorías: alumnado de 2º Ciclo</w:t>
        <w:br/>
        <w:t>de Educación Infantil; alumnado de 1º, 2º, 3º de Primaria; alumnado de 4º, 5º, 6º de Primaria; alumnado de</w:t>
        <w:br/>
        <w:t>1º, 2º o 3er Ciclo de Centros de Educación Especial de Jerez de la Frontera. Los premios por categoría consisti-</w:t>
        <w:br/>
        <w:t>rán para los terceros premios en un regalo y dos billetes para visitar el Zoobotánico de Jerez, para los segundos</w:t>
        <w:br/>
        <w:t>premios un regalo y dos billetes para visitar el Conjunto Monumental del Alcázar y Cámara Oscura y para los</w:t>
        <w:br/>
        <w:t>primeros premios un regalo y un carnet familiar anual para visitar el Zoobotánico de Jerez. Los centros educa-</w:t>
        <w:br/>
        <w:t xml:space="preserve">tivos recibirán un diploma acreditativo como entidades participantes. </w:t>
      </w:r>
    </w:p>
    <w:p>
      <w:pPr>
        <w:pStyle w:val="Cuerpodetexto"/>
        <w:spacing w:lineRule="auto" w:line="240" w:before="0" w:after="140"/>
        <w:jc w:val="both"/>
        <w:rPr>
          <w:rFonts w:ascii="Arial" w:hAnsi="Arial" w:eastAsia="Times New Roman" w:cs="Arial"/>
          <w:b w:val="false"/>
          <w:b w:val="false"/>
          <w:bCs w:val="false"/>
          <w:color w:val="auto"/>
          <w:kern w:val="2"/>
          <w:sz w:val="26"/>
          <w:szCs w:val="26"/>
          <w:lang w:val="es-ES" w:eastAsia="zh-CN" w:bidi="ar-SA"/>
        </w:rPr>
      </w:pPr>
      <w:r>
        <w:rPr>
          <w:rFonts w:eastAsia="Times New Roman" w:cs="Arial" w:ascii="Arial" w:hAnsi="Arial"/>
          <w:b w:val="false"/>
          <w:bCs w:val="false"/>
          <w:color w:val="auto"/>
          <w:kern w:val="2"/>
          <w:sz w:val="26"/>
          <w:szCs w:val="26"/>
          <w:lang w:val="es-ES" w:eastAsia="zh-CN" w:bidi="ar-SA"/>
        </w:rPr>
        <w:br/>
        <w:t>Los dibujos participantes podrán entregarse hasta el lunes, 21 de marzo a las 15.00 horas en la Delegación de Igualdad y Diversidad (C/Liebre, número 23) o también pueden</w:t>
        <w:br/>
        <w:t>enviarse escaneados a prensa2.syg@aytojerez.es por parte del profesorado de los Grupos-Clase participantes.</w:t>
      </w:r>
    </w:p>
    <w:p>
      <w:pPr>
        <w:pStyle w:val="Cuerpodetexto"/>
        <w:spacing w:lineRule="auto" w:line="240" w:before="0" w:after="140"/>
        <w:jc w:val="both"/>
        <w:rPr>
          <w:rFonts w:ascii="Arial" w:hAnsi="Arial" w:eastAsia="Times New Roman" w:cs="Arial"/>
          <w:b w:val="false"/>
          <w:b w:val="false"/>
          <w:bCs w:val="false"/>
          <w:color w:val="auto"/>
          <w:kern w:val="2"/>
          <w:sz w:val="26"/>
          <w:szCs w:val="26"/>
          <w:lang w:val="es-ES" w:eastAsia="zh-CN" w:bidi="ar-SA"/>
        </w:rPr>
      </w:pPr>
      <w:r>
        <w:rPr>
          <w:rFonts w:eastAsia="Times New Roman" w:cs="Arial" w:ascii="Arial" w:hAnsi="Arial"/>
          <w:b w:val="false"/>
          <w:bCs w:val="false"/>
          <w:color w:val="auto"/>
          <w:kern w:val="2"/>
          <w:sz w:val="26"/>
          <w:szCs w:val="26"/>
          <w:lang w:val="es-ES" w:eastAsia="zh-CN" w:bidi="ar-SA"/>
        </w:rPr>
        <w:br/>
        <w:t>Los dibujos finalistas y premiados se publicarán en las redes sociales de la Delegación.</w:t>
      </w:r>
    </w:p>
    <w:p>
      <w:pPr>
        <w:pStyle w:val="Cuerpodetexto"/>
        <w:spacing w:lineRule="auto" w:line="240" w:before="0" w:after="140"/>
        <w:jc w:val="both"/>
        <w:rPr>
          <w:rFonts w:ascii="Arial" w:hAnsi="Arial" w:cs="Arial"/>
        </w:rPr>
      </w:pPr>
      <w:r>
        <w:rPr>
          <w:rFonts w:cs="Arial" w:ascii="Arial" w:hAnsi="Arial"/>
        </w:rPr>
      </w:r>
    </w:p>
    <w:tbl>
      <w:tblPr>
        <w:tblW w:w="7689" w:type="dxa"/>
        <w:jc w:val="left"/>
        <w:tblInd w:w="-1" w:type="dxa"/>
        <w:tblLayout w:type="fixed"/>
        <w:tblCellMar>
          <w:top w:w="55" w:type="dxa"/>
          <w:left w:w="55" w:type="dxa"/>
          <w:bottom w:w="55" w:type="dxa"/>
          <w:right w:w="55" w:type="dxa"/>
        </w:tblCellMar>
      </w:tblPr>
      <w:tblGrid>
        <w:gridCol w:w="7689"/>
      </w:tblGrid>
      <w:tr>
        <w:trPr/>
        <w:tc>
          <w:tcPr>
            <w:tcW w:w="7689" w:type="dxa"/>
            <w:tcBorders>
              <w:top w:val="single" w:sz="2" w:space="0" w:color="000000"/>
              <w:left w:val="single" w:sz="2" w:space="0" w:color="000000"/>
              <w:right w:val="single" w:sz="2" w:space="0" w:color="000000"/>
            </w:tcBorders>
          </w:tcPr>
          <w:p>
            <w:pPr>
              <w:pStyle w:val="Contenidodelatabla"/>
              <w:widowControl w:val="false"/>
              <w:jc w:val="both"/>
              <w:rPr>
                <w:rFonts w:ascii="Arial" w:hAnsi="Arial" w:cs="Arial"/>
                <w:sz w:val="22"/>
                <w:szCs w:val="22"/>
              </w:rPr>
            </w:pPr>
            <w:r>
              <w:rPr>
                <w:rFonts w:cs="Arial" w:ascii="Arial" w:hAnsi="Arial"/>
                <w:sz w:val="22"/>
                <w:szCs w:val="22"/>
              </w:rPr>
              <w:t xml:space="preserve">Se adjunta enlace de audio </w:t>
            </w:r>
            <w:hyperlink r:id="rId2">
              <w:r>
                <w:rPr>
                  <w:rStyle w:val="EnlacedeInternet"/>
                </w:rPr>
                <w:t>https://almacen.seap.minhap.es/descarga/envio/93daf03402222e45db653ae6f2db23489fd0e419</w:t>
              </w:r>
            </w:hyperlink>
          </w:p>
          <w:p>
            <w:pPr>
              <w:pStyle w:val="Contenidodelatabla"/>
              <w:widowControl w:val="false"/>
              <w:jc w:val="both"/>
              <w:rPr>
                <w:rFonts w:ascii="Arial" w:hAnsi="Arial" w:cs="Arial"/>
                <w:sz w:val="22"/>
                <w:szCs w:val="22"/>
              </w:rPr>
            </w:pPr>
            <w:r>
              <w:rPr>
                <w:rFonts w:cs="Arial" w:ascii="Arial" w:hAnsi="Arial"/>
                <w:sz w:val="22"/>
                <w:szCs w:val="22"/>
              </w:rPr>
            </w:r>
          </w:p>
        </w:tc>
      </w:tr>
      <w:tr>
        <w:trPr/>
        <w:tc>
          <w:tcPr>
            <w:tcW w:w="7689" w:type="dxa"/>
            <w:tcBorders>
              <w:left w:val="single" w:sz="2" w:space="0" w:color="000000"/>
              <w:bottom w:val="single" w:sz="2" w:space="0" w:color="000000"/>
              <w:right w:val="single" w:sz="2" w:space="0" w:color="000000"/>
            </w:tcBorders>
          </w:tcPr>
          <w:p>
            <w:pPr>
              <w:pStyle w:val="Contenidodelatabla"/>
              <w:widowControl w:val="false"/>
              <w:jc w:val="both"/>
              <w:rPr/>
            </w:pPr>
            <w:hyperlink r:id="rId3">
              <w:r>
                <w:rPr>
                  <w:rStyle w:val="EnlacedeInternet"/>
                  <w:rFonts w:cs="Arial" w:ascii="Arial" w:hAnsi="Arial"/>
                  <w:b w:val="false"/>
                  <w:bCs w:val="false"/>
                  <w:i/>
                  <w:iCs/>
                  <w:color w:val="000000"/>
                  <w:sz w:val="22"/>
                  <w:szCs w:val="22"/>
                  <w:u w:val="none"/>
                </w:rPr>
                <w:t xml:space="preserve">Se adjunta </w:t>
              </w:r>
            </w:hyperlink>
            <w:r>
              <w:rPr>
                <w:rStyle w:val="EnlacedeInternet"/>
                <w:rFonts w:cs="Arial" w:ascii="Arial" w:hAnsi="Arial"/>
                <w:b w:val="false"/>
                <w:bCs w:val="false"/>
                <w:i/>
                <w:iCs/>
                <w:color w:val="000000"/>
                <w:sz w:val="22"/>
                <w:szCs w:val="22"/>
                <w:u w:val="none"/>
              </w:rPr>
              <w:t>cartel</w:t>
            </w:r>
          </w:p>
        </w:tc>
      </w:tr>
    </w:tbl>
    <w:p>
      <w:pPr>
        <w:pStyle w:val="Cuerpodetexto"/>
        <w:spacing w:lineRule="auto" w:line="240" w:before="0" w:after="140"/>
        <w:jc w:val="both"/>
        <w:rPr>
          <w:rFonts w:ascii="Arial" w:hAnsi="Arial" w:cs="Arial"/>
        </w:rPr>
      </w:pPr>
      <w:r>
        <w:rPr/>
      </w:r>
    </w:p>
    <w:sectPr>
      <w:headerReference w:type="default" r:id="rId4"/>
      <w:footerReference w:type="default" r:id="rId5"/>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w:altName w:val="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lmacen.seap.minhap.es/descarga/envio/93daf03402222e45db653ae6f2db23489fd0e419" TargetMode="External"/><Relationship Id="rId3" Type="http://schemas.openxmlformats.org/officeDocument/2006/relationships/hyperlink" Target="../../../../fileadmin/Documentos/Participacion_Ciudadana/Cooperacion/ComercioJusto/solicitud_establecimientos_01.pdf"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LibreOffice/7.2.5.2$Windows_X86_64 LibreOffice_project/499f9727c189e6ef3471021d6132d4c694f357e5</Application>
  <AppVersion>15.0000</AppVersion>
  <Pages>2</Pages>
  <Words>420</Words>
  <Characters>2231</Characters>
  <CharactersWithSpaces>2650</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2021-11-24T10:37:00Z</dcterms:created>
  <dc:creator>ADELIFL</dc:creator>
  <dc:description/>
  <dc:language>es-ES</dc:language>
  <cp:lastModifiedBy/>
  <cp:lastPrinted>1995-11-21T16:41:00Z</cp:lastPrinted>
  <dcterms:modified xsi:type="dcterms:W3CDTF">2022-03-14T10:58:25Z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