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3117" w:rsidRDefault="00A95C7A">
      <w:pPr>
        <w:rPr>
          <w:rFonts w:ascii="Arial" w:hAnsi="Arial" w:cs="Arial"/>
          <w:b/>
          <w:sz w:val="36"/>
          <w:szCs w:val="36"/>
        </w:rPr>
      </w:pPr>
      <w:r>
        <w:rPr>
          <w:rFonts w:ascii="Arial" w:hAnsi="Arial" w:cs="Arial"/>
          <w:b/>
          <w:sz w:val="36"/>
          <w:szCs w:val="36"/>
        </w:rPr>
        <w:t>Jerez optará a dos nuevas subvenciones de fondos ‘</w:t>
      </w:r>
      <w:proofErr w:type="spellStart"/>
      <w:r>
        <w:rPr>
          <w:rFonts w:ascii="Arial" w:hAnsi="Arial" w:cs="Arial"/>
          <w:b/>
          <w:sz w:val="36"/>
          <w:szCs w:val="36"/>
        </w:rPr>
        <w:t>Next</w:t>
      </w:r>
      <w:proofErr w:type="spellEnd"/>
      <w:r>
        <w:rPr>
          <w:rFonts w:ascii="Arial" w:hAnsi="Arial" w:cs="Arial"/>
          <w:b/>
          <w:sz w:val="36"/>
          <w:szCs w:val="36"/>
        </w:rPr>
        <w:t xml:space="preserve"> </w:t>
      </w:r>
      <w:proofErr w:type="spellStart"/>
      <w:r>
        <w:rPr>
          <w:rFonts w:ascii="Arial" w:hAnsi="Arial" w:cs="Arial"/>
          <w:b/>
          <w:sz w:val="36"/>
          <w:szCs w:val="36"/>
        </w:rPr>
        <w:t>Generation</w:t>
      </w:r>
      <w:proofErr w:type="spellEnd"/>
      <w:r>
        <w:rPr>
          <w:rFonts w:ascii="Arial" w:hAnsi="Arial" w:cs="Arial"/>
          <w:b/>
          <w:sz w:val="36"/>
          <w:szCs w:val="36"/>
        </w:rPr>
        <w:t xml:space="preserve">’ sobre Turismo Sostenible </w:t>
      </w:r>
    </w:p>
    <w:p w:rsidR="00B53117" w:rsidRDefault="00B53117">
      <w:pPr>
        <w:rPr>
          <w:rFonts w:ascii="Arial" w:hAnsi="Arial" w:cs="Arial"/>
          <w:sz w:val="32"/>
          <w:szCs w:val="32"/>
        </w:rPr>
      </w:pPr>
    </w:p>
    <w:p w:rsidR="00B53117" w:rsidRDefault="00A95C7A">
      <w:pPr>
        <w:rPr>
          <w:sz w:val="30"/>
          <w:szCs w:val="30"/>
        </w:rPr>
      </w:pPr>
      <w:r>
        <w:rPr>
          <w:rFonts w:ascii="Arial" w:hAnsi="Arial" w:cs="Arial"/>
          <w:sz w:val="30"/>
          <w:szCs w:val="30"/>
        </w:rPr>
        <w:t>La alcaldesa, Mamen Sánchez, ha explicado que para la de mayor presupuesto se incluirán las demandas de los vecinos, colec</w:t>
      </w:r>
      <w:r>
        <w:rPr>
          <w:rFonts w:ascii="Arial" w:hAnsi="Arial" w:cs="Arial"/>
          <w:sz w:val="30"/>
          <w:szCs w:val="30"/>
        </w:rPr>
        <w:t>tivos y entidades de Santiago “para el reimpulso de este barr</w:t>
      </w:r>
      <w:r w:rsidR="0019644F">
        <w:rPr>
          <w:rFonts w:ascii="Arial" w:hAnsi="Arial" w:cs="Arial"/>
          <w:sz w:val="30"/>
          <w:szCs w:val="30"/>
        </w:rPr>
        <w:t>io histórico y señero de Jerez” y habiéndose iniciado ya reuniones de trabajo con tales colectivos vecinales y entidades para “identificar prioridades y concretar los proyectos”</w:t>
      </w:r>
    </w:p>
    <w:p w:rsidR="00B53117" w:rsidRDefault="00B53117">
      <w:pPr>
        <w:rPr>
          <w:rFonts w:ascii="Arial" w:hAnsi="Arial" w:cs="Arial"/>
          <w:sz w:val="30"/>
          <w:szCs w:val="30"/>
        </w:rPr>
      </w:pPr>
    </w:p>
    <w:p w:rsidR="00B53117" w:rsidRDefault="00A95C7A">
      <w:pPr>
        <w:rPr>
          <w:sz w:val="30"/>
          <w:szCs w:val="30"/>
        </w:rPr>
      </w:pPr>
      <w:r>
        <w:rPr>
          <w:rFonts w:ascii="Arial" w:hAnsi="Arial" w:cs="Arial"/>
          <w:sz w:val="30"/>
          <w:szCs w:val="30"/>
        </w:rPr>
        <w:t xml:space="preserve">Se denomina ‘Sostenibilidad Turística en Destinos’ (Convocatoria Extraordinaria 2022), con una inversión </w:t>
      </w:r>
      <w:proofErr w:type="gramStart"/>
      <w:r>
        <w:rPr>
          <w:rFonts w:ascii="Arial" w:hAnsi="Arial" w:cs="Arial"/>
          <w:sz w:val="30"/>
          <w:szCs w:val="30"/>
        </w:rPr>
        <w:t>mínima</w:t>
      </w:r>
      <w:proofErr w:type="gramEnd"/>
      <w:r>
        <w:rPr>
          <w:rFonts w:ascii="Arial" w:hAnsi="Arial" w:cs="Arial"/>
          <w:sz w:val="30"/>
          <w:szCs w:val="30"/>
        </w:rPr>
        <w:t xml:space="preserve"> de 2 millones de euros y una máxima de 6 millones</w:t>
      </w:r>
      <w:r>
        <w:rPr>
          <w:rFonts w:ascii="Arial" w:hAnsi="Arial" w:cs="Arial"/>
          <w:sz w:val="30"/>
          <w:szCs w:val="30"/>
        </w:rPr>
        <w:t xml:space="preserve"> de euros, que contempla 4 ejes de actuaciones</w:t>
      </w:r>
    </w:p>
    <w:p w:rsidR="00B53117" w:rsidRDefault="00B53117">
      <w:pPr>
        <w:rPr>
          <w:rFonts w:ascii="Arial" w:hAnsi="Arial" w:cs="Arial"/>
          <w:sz w:val="30"/>
          <w:szCs w:val="30"/>
        </w:rPr>
      </w:pPr>
    </w:p>
    <w:p w:rsidR="00B53117" w:rsidRDefault="00A95C7A">
      <w:pPr>
        <w:rPr>
          <w:sz w:val="30"/>
          <w:szCs w:val="30"/>
        </w:rPr>
      </w:pPr>
      <w:r>
        <w:rPr>
          <w:rFonts w:ascii="Arial" w:hAnsi="Arial" w:cs="Arial"/>
          <w:sz w:val="30"/>
          <w:szCs w:val="30"/>
        </w:rPr>
        <w:t>La otra a la que opta el Gobierno local se denomina ‘Transformación digital y modernización de las entidades locales que forman parte de la Red de Destinos Turísticos Inteligentes’ y contempla una inversión m</w:t>
      </w:r>
      <w:r>
        <w:rPr>
          <w:rFonts w:ascii="Arial" w:hAnsi="Arial" w:cs="Arial"/>
          <w:sz w:val="30"/>
          <w:szCs w:val="30"/>
        </w:rPr>
        <w:t>áxima de 200.000 euros</w:t>
      </w:r>
    </w:p>
    <w:p w:rsidR="00B53117" w:rsidRDefault="00B53117">
      <w:pPr>
        <w:rPr>
          <w:rFonts w:ascii="Arial" w:hAnsi="Arial" w:cs="Arial"/>
          <w:sz w:val="32"/>
          <w:szCs w:val="32"/>
        </w:rPr>
      </w:pPr>
    </w:p>
    <w:p w:rsidR="00B53117" w:rsidRDefault="00A95C7A">
      <w:pPr>
        <w:jc w:val="both"/>
        <w:rPr>
          <w:szCs w:val="24"/>
        </w:rPr>
      </w:pPr>
      <w:r>
        <w:rPr>
          <w:rFonts w:ascii="Arial" w:hAnsi="Arial" w:cs="Arial"/>
          <w:b/>
          <w:color w:val="000000" w:themeColor="text1"/>
          <w:szCs w:val="24"/>
        </w:rPr>
        <w:t>22 de marzo de 2022.</w:t>
      </w:r>
      <w:r>
        <w:rPr>
          <w:rFonts w:ascii="Arial" w:hAnsi="Arial" w:cs="Arial"/>
          <w:color w:val="000000" w:themeColor="text1"/>
          <w:szCs w:val="24"/>
        </w:rPr>
        <w:t xml:space="preserve"> </w:t>
      </w:r>
      <w:r>
        <w:rPr>
          <w:rFonts w:ascii="Arial" w:hAnsi="Arial" w:cs="Arial"/>
          <w:color w:val="000000" w:themeColor="text1"/>
          <w:kern w:val="0"/>
          <w:szCs w:val="24"/>
          <w:shd w:val="clear" w:color="auto" w:fill="FFFFFF"/>
          <w:lang w:eastAsia="es-ES"/>
        </w:rPr>
        <w:t>La alcaldesa, Mamen Sánchez, junto a la primera teniente de alcaldesa, Laura Álvarez, y al teniente de alcaldesa de Urbanismo, Infraestructuras y Medio Ambiente, José Antonio Díaz, ha iniciado junto a los técnic</w:t>
      </w:r>
      <w:r>
        <w:rPr>
          <w:rFonts w:ascii="Arial" w:hAnsi="Arial" w:cs="Arial"/>
          <w:color w:val="000000" w:themeColor="text1"/>
          <w:kern w:val="0"/>
          <w:szCs w:val="24"/>
          <w:shd w:val="clear" w:color="auto" w:fill="FFFFFF"/>
          <w:lang w:eastAsia="es-ES"/>
        </w:rPr>
        <w:t>os municipales de las áreas afectadas, la solicitud de dos convocatorias de subvenciones con fondos europeos ‘</w:t>
      </w:r>
      <w:proofErr w:type="spellStart"/>
      <w:r>
        <w:rPr>
          <w:rFonts w:ascii="Arial" w:hAnsi="Arial" w:cs="Arial"/>
          <w:color w:val="000000" w:themeColor="text1"/>
          <w:kern w:val="0"/>
          <w:szCs w:val="24"/>
          <w:shd w:val="clear" w:color="auto" w:fill="FFFFFF"/>
          <w:lang w:eastAsia="es-ES"/>
        </w:rPr>
        <w:t>Next</w:t>
      </w:r>
      <w:proofErr w:type="spellEnd"/>
      <w:r>
        <w:rPr>
          <w:rFonts w:ascii="Arial" w:hAnsi="Arial" w:cs="Arial"/>
          <w:color w:val="000000" w:themeColor="text1"/>
          <w:kern w:val="0"/>
          <w:szCs w:val="24"/>
          <w:shd w:val="clear" w:color="auto" w:fill="FFFFFF"/>
          <w:lang w:eastAsia="es-ES"/>
        </w:rPr>
        <w:t xml:space="preserve"> </w:t>
      </w:r>
      <w:proofErr w:type="spellStart"/>
      <w:r>
        <w:rPr>
          <w:rFonts w:ascii="Arial" w:hAnsi="Arial" w:cs="Arial"/>
          <w:color w:val="000000" w:themeColor="text1"/>
          <w:kern w:val="0"/>
          <w:szCs w:val="24"/>
          <w:shd w:val="clear" w:color="auto" w:fill="FFFFFF"/>
          <w:lang w:eastAsia="es-ES"/>
        </w:rPr>
        <w:t>Generation</w:t>
      </w:r>
      <w:proofErr w:type="spellEnd"/>
      <w:r>
        <w:rPr>
          <w:rFonts w:ascii="Arial" w:hAnsi="Arial" w:cs="Arial"/>
          <w:color w:val="000000" w:themeColor="text1"/>
          <w:kern w:val="0"/>
          <w:szCs w:val="24"/>
          <w:shd w:val="clear" w:color="auto" w:fill="FFFFFF"/>
          <w:lang w:eastAsia="es-ES"/>
        </w:rPr>
        <w:t>’ de Turismo Sostenible a las que optará Jerez.</w:t>
      </w:r>
    </w:p>
    <w:p w:rsidR="00B53117" w:rsidRDefault="00B53117">
      <w:pPr>
        <w:jc w:val="both"/>
        <w:rPr>
          <w:rFonts w:ascii="Arial" w:hAnsi="Arial" w:cs="Arial"/>
          <w:color w:val="000000" w:themeColor="text1"/>
          <w:kern w:val="0"/>
          <w:szCs w:val="24"/>
          <w:shd w:val="clear" w:color="auto" w:fill="FFFFFF"/>
          <w:lang w:eastAsia="es-ES"/>
        </w:rPr>
      </w:pPr>
    </w:p>
    <w:p w:rsidR="00B53117" w:rsidRDefault="00A95C7A">
      <w:pPr>
        <w:jc w:val="both"/>
        <w:rPr>
          <w:szCs w:val="24"/>
        </w:rPr>
      </w:pPr>
      <w:r>
        <w:rPr>
          <w:rFonts w:ascii="Arial" w:hAnsi="Arial" w:cs="Arial"/>
          <w:color w:val="000000" w:themeColor="text1"/>
          <w:kern w:val="0"/>
          <w:szCs w:val="24"/>
          <w:shd w:val="clear" w:color="auto" w:fill="FFFFFF"/>
          <w:lang w:eastAsia="es-ES"/>
        </w:rPr>
        <w:t xml:space="preserve">En la de mayor cuantía presupuestada se prevé incluir “con vistas al reimpulso de </w:t>
      </w:r>
      <w:r>
        <w:rPr>
          <w:rFonts w:ascii="Arial" w:hAnsi="Arial" w:cs="Arial"/>
          <w:color w:val="000000" w:themeColor="text1"/>
          <w:kern w:val="0"/>
          <w:szCs w:val="24"/>
          <w:shd w:val="clear" w:color="auto" w:fill="FFFFFF"/>
          <w:lang w:eastAsia="es-ES"/>
        </w:rPr>
        <w:t>Santiago, las demandas de los vecinos y vecinas de este histórico y señero barrio de nuestra ciudad”, según ha explicado Mamen Sánchez, tras mantener distintas reuniones con vecinos, colectivos y entidades del referido barrio</w:t>
      </w:r>
      <w:r w:rsidR="0019644F">
        <w:rPr>
          <w:rFonts w:ascii="Arial" w:hAnsi="Arial" w:cs="Arial"/>
          <w:color w:val="000000" w:themeColor="text1"/>
          <w:kern w:val="0"/>
          <w:szCs w:val="24"/>
          <w:shd w:val="clear" w:color="auto" w:fill="FFFFFF"/>
          <w:lang w:eastAsia="es-ES"/>
        </w:rPr>
        <w:t xml:space="preserve"> “para identificar las prioridades y concretar los proyectos”</w:t>
      </w:r>
      <w:bookmarkStart w:id="0" w:name="_GoBack"/>
      <w:bookmarkEnd w:id="0"/>
      <w:r>
        <w:rPr>
          <w:rFonts w:ascii="Arial" w:hAnsi="Arial" w:cs="Arial"/>
          <w:color w:val="000000" w:themeColor="text1"/>
          <w:kern w:val="0"/>
          <w:szCs w:val="24"/>
          <w:shd w:val="clear" w:color="auto" w:fill="FFFFFF"/>
          <w:lang w:eastAsia="es-ES"/>
        </w:rPr>
        <w:t>.</w:t>
      </w:r>
    </w:p>
    <w:p w:rsidR="00B53117" w:rsidRDefault="00B53117">
      <w:pPr>
        <w:jc w:val="both"/>
        <w:rPr>
          <w:rFonts w:ascii="Arial" w:hAnsi="Arial" w:cs="Arial"/>
          <w:color w:val="000000" w:themeColor="text1"/>
          <w:kern w:val="0"/>
          <w:szCs w:val="24"/>
          <w:shd w:val="clear" w:color="auto" w:fill="FFFFFF"/>
          <w:lang w:eastAsia="es-ES"/>
        </w:rPr>
      </w:pPr>
    </w:p>
    <w:p w:rsidR="00B53117" w:rsidRDefault="00A95C7A">
      <w:pPr>
        <w:jc w:val="both"/>
        <w:rPr>
          <w:szCs w:val="24"/>
        </w:rPr>
      </w:pPr>
      <w:r>
        <w:rPr>
          <w:rFonts w:ascii="Arial" w:hAnsi="Arial" w:cs="Arial"/>
          <w:szCs w:val="24"/>
        </w:rPr>
        <w:t xml:space="preserve">Esta subvención se denomina </w:t>
      </w:r>
      <w:r>
        <w:rPr>
          <w:rFonts w:ascii="Arial" w:hAnsi="Arial" w:cs="Arial"/>
          <w:b/>
          <w:bCs/>
          <w:szCs w:val="24"/>
        </w:rPr>
        <w:t>‘Sostenibilidad Turística en Destinos’ (Convocatoria Extraordinaria 2022)</w:t>
      </w:r>
      <w:r>
        <w:rPr>
          <w:rFonts w:ascii="Arial" w:hAnsi="Arial" w:cs="Arial"/>
          <w:szCs w:val="24"/>
        </w:rPr>
        <w:t xml:space="preserve">, con una inversión mínima de 2 millones de euros y una máxima de 6 millones de euros, que contempla 4 ejes de actuaciones. Está pendiente de publicación tal convocatoria, si bien se </w:t>
      </w:r>
      <w:r>
        <w:rPr>
          <w:rFonts w:ascii="Arial" w:hAnsi="Arial" w:cs="Arial"/>
          <w:szCs w:val="24"/>
        </w:rPr>
        <w:t xml:space="preserve">prevé que se produzca en las próximas semanas. </w:t>
      </w:r>
    </w:p>
    <w:p w:rsidR="00B53117" w:rsidRDefault="00B53117">
      <w:pPr>
        <w:jc w:val="both"/>
        <w:rPr>
          <w:rFonts w:ascii="Arial" w:hAnsi="Arial" w:cs="Arial"/>
          <w:szCs w:val="24"/>
        </w:rPr>
      </w:pPr>
    </w:p>
    <w:p w:rsidR="00B53117" w:rsidRDefault="00A95C7A">
      <w:pPr>
        <w:jc w:val="both"/>
        <w:rPr>
          <w:szCs w:val="24"/>
        </w:rPr>
      </w:pPr>
      <w:r>
        <w:rPr>
          <w:rFonts w:ascii="Arial" w:hAnsi="Arial" w:cs="Arial"/>
          <w:szCs w:val="24"/>
        </w:rPr>
        <w:t xml:space="preserve">La inversión mínima debe ser de 2 millones de euros y la máxima, de 6 millones de euros. Cabe destacar que se divide en cuatro ejes de actuaciones, con la necesaria inversión de un 10% en cada uno de ellos. </w:t>
      </w:r>
      <w:r>
        <w:rPr>
          <w:rFonts w:ascii="Arial" w:hAnsi="Arial" w:cs="Arial"/>
          <w:szCs w:val="24"/>
        </w:rPr>
        <w:t>Estos cuatro ejes son los que siguen:</w:t>
      </w:r>
    </w:p>
    <w:p w:rsidR="00B53117" w:rsidRDefault="00B53117">
      <w:pPr>
        <w:jc w:val="both"/>
        <w:rPr>
          <w:rFonts w:ascii="Arial" w:hAnsi="Arial" w:cs="Arial"/>
          <w:szCs w:val="24"/>
        </w:rPr>
      </w:pPr>
    </w:p>
    <w:p w:rsidR="00B53117" w:rsidRDefault="00A95C7A">
      <w:pPr>
        <w:pStyle w:val="Prrafodelista"/>
        <w:numPr>
          <w:ilvl w:val="0"/>
          <w:numId w:val="1"/>
        </w:numPr>
        <w:jc w:val="both"/>
        <w:rPr>
          <w:sz w:val="24"/>
          <w:szCs w:val="24"/>
        </w:rPr>
      </w:pPr>
      <w:r>
        <w:rPr>
          <w:rFonts w:ascii="Arial" w:hAnsi="Arial" w:cs="Arial"/>
          <w:b/>
          <w:color w:val="000000" w:themeColor="text1"/>
          <w:sz w:val="24"/>
          <w:szCs w:val="24"/>
          <w:shd w:val="clear" w:color="auto" w:fill="FFFFFF"/>
          <w:lang w:eastAsia="es-ES"/>
        </w:rPr>
        <w:t>Eje 1.</w:t>
      </w:r>
      <w:r>
        <w:rPr>
          <w:rFonts w:ascii="Arial" w:hAnsi="Arial" w:cs="Arial"/>
          <w:color w:val="000000" w:themeColor="text1"/>
          <w:sz w:val="24"/>
          <w:szCs w:val="24"/>
          <w:shd w:val="clear" w:color="auto" w:fill="FFFFFF"/>
          <w:lang w:eastAsia="es-ES"/>
        </w:rPr>
        <w:t xml:space="preserve"> Actuaciones en el ámbito de la transición verde y sosten</w:t>
      </w:r>
      <w:r>
        <w:rPr>
          <w:rFonts w:ascii="Arial" w:hAnsi="Arial" w:cs="Arial"/>
          <w:color w:val="000000" w:themeColor="text1"/>
          <w:sz w:val="24"/>
          <w:szCs w:val="24"/>
          <w:shd w:val="clear" w:color="auto" w:fill="FFFFFF"/>
          <w:lang w:eastAsia="es-ES"/>
        </w:rPr>
        <w:t>i</w:t>
      </w:r>
      <w:r>
        <w:rPr>
          <w:rFonts w:ascii="Arial" w:hAnsi="Arial" w:cs="Arial"/>
          <w:color w:val="000000" w:themeColor="text1"/>
          <w:sz w:val="24"/>
          <w:szCs w:val="24"/>
          <w:shd w:val="clear" w:color="auto" w:fill="FFFFFF"/>
          <w:lang w:eastAsia="es-ES"/>
        </w:rPr>
        <w:t>ble: adaptación al cambio climático como, por ejemplo, corred</w:t>
      </w:r>
      <w:r>
        <w:rPr>
          <w:rFonts w:ascii="Arial" w:hAnsi="Arial" w:cs="Arial"/>
          <w:color w:val="000000" w:themeColor="text1"/>
          <w:sz w:val="24"/>
          <w:szCs w:val="24"/>
          <w:shd w:val="clear" w:color="auto" w:fill="FFFFFF"/>
          <w:lang w:eastAsia="es-ES"/>
        </w:rPr>
        <w:t>o</w:t>
      </w:r>
      <w:r>
        <w:rPr>
          <w:rFonts w:ascii="Arial" w:hAnsi="Arial" w:cs="Arial"/>
          <w:color w:val="000000" w:themeColor="text1"/>
          <w:sz w:val="24"/>
          <w:szCs w:val="24"/>
          <w:shd w:val="clear" w:color="auto" w:fill="FFFFFF"/>
          <w:lang w:eastAsia="es-ES"/>
        </w:rPr>
        <w:t>res ecológicos, pasillos verdes, reducción de residuos, aparc</w:t>
      </w:r>
      <w:r>
        <w:rPr>
          <w:rFonts w:ascii="Arial" w:hAnsi="Arial" w:cs="Arial"/>
          <w:color w:val="000000" w:themeColor="text1"/>
          <w:sz w:val="24"/>
          <w:szCs w:val="24"/>
          <w:shd w:val="clear" w:color="auto" w:fill="FFFFFF"/>
          <w:lang w:eastAsia="es-ES"/>
        </w:rPr>
        <w:t>a</w:t>
      </w:r>
      <w:r>
        <w:rPr>
          <w:rFonts w:ascii="Arial" w:hAnsi="Arial" w:cs="Arial"/>
          <w:color w:val="000000" w:themeColor="text1"/>
          <w:sz w:val="24"/>
          <w:szCs w:val="24"/>
          <w:shd w:val="clear" w:color="auto" w:fill="FFFFFF"/>
          <w:lang w:eastAsia="es-ES"/>
        </w:rPr>
        <w:t>mientos disuasorios, itinerar</w:t>
      </w:r>
      <w:r>
        <w:rPr>
          <w:rFonts w:ascii="Arial" w:hAnsi="Arial" w:cs="Arial"/>
          <w:color w:val="000000" w:themeColor="text1"/>
          <w:sz w:val="24"/>
          <w:szCs w:val="24"/>
          <w:shd w:val="clear" w:color="auto" w:fill="FFFFFF"/>
          <w:lang w:eastAsia="es-ES"/>
        </w:rPr>
        <w:t>ios ciclistas, entre otras.</w:t>
      </w:r>
    </w:p>
    <w:p w:rsidR="00B53117" w:rsidRDefault="00B53117">
      <w:pPr>
        <w:pStyle w:val="Prrafodelista"/>
        <w:jc w:val="both"/>
        <w:rPr>
          <w:rFonts w:ascii="Arial" w:hAnsi="Arial" w:cs="Arial"/>
          <w:color w:val="000000" w:themeColor="text1"/>
          <w:sz w:val="24"/>
          <w:szCs w:val="24"/>
          <w:shd w:val="clear" w:color="auto" w:fill="FFFFFF"/>
          <w:lang w:eastAsia="es-ES"/>
        </w:rPr>
      </w:pPr>
    </w:p>
    <w:p w:rsidR="00B53117" w:rsidRDefault="00A95C7A">
      <w:pPr>
        <w:pStyle w:val="Prrafodelista"/>
        <w:numPr>
          <w:ilvl w:val="0"/>
          <w:numId w:val="1"/>
        </w:numPr>
        <w:jc w:val="both"/>
        <w:rPr>
          <w:sz w:val="24"/>
          <w:szCs w:val="24"/>
        </w:rPr>
      </w:pPr>
      <w:r>
        <w:rPr>
          <w:rFonts w:ascii="Arial" w:hAnsi="Arial" w:cs="Arial"/>
          <w:b/>
          <w:color w:val="000000" w:themeColor="text1"/>
          <w:sz w:val="24"/>
          <w:szCs w:val="24"/>
          <w:shd w:val="clear" w:color="auto" w:fill="FFFFFF"/>
          <w:lang w:eastAsia="es-ES"/>
        </w:rPr>
        <w:t xml:space="preserve">Eje 2. </w:t>
      </w:r>
      <w:r>
        <w:rPr>
          <w:rFonts w:ascii="Arial" w:hAnsi="Arial" w:cs="Arial"/>
          <w:color w:val="000000" w:themeColor="text1"/>
          <w:sz w:val="24"/>
          <w:szCs w:val="24"/>
          <w:shd w:val="clear" w:color="auto" w:fill="FFFFFF"/>
          <w:lang w:eastAsia="es-ES"/>
        </w:rPr>
        <w:t>Actuaciones de mejora de la eficiencia energética: limitar la contaminación por carbono y estimular la transición hacia energías renovables así como actuaciones encaminadas al f</w:t>
      </w:r>
      <w:r>
        <w:rPr>
          <w:rFonts w:ascii="Arial" w:hAnsi="Arial" w:cs="Arial"/>
          <w:color w:val="000000" w:themeColor="text1"/>
          <w:sz w:val="24"/>
          <w:szCs w:val="24"/>
          <w:shd w:val="clear" w:color="auto" w:fill="FFFFFF"/>
          <w:lang w:eastAsia="es-ES"/>
        </w:rPr>
        <w:t>o</w:t>
      </w:r>
      <w:r>
        <w:rPr>
          <w:rFonts w:ascii="Arial" w:hAnsi="Arial" w:cs="Arial"/>
          <w:color w:val="000000" w:themeColor="text1"/>
          <w:sz w:val="24"/>
          <w:szCs w:val="24"/>
          <w:shd w:val="clear" w:color="auto" w:fill="FFFFFF"/>
          <w:lang w:eastAsia="es-ES"/>
        </w:rPr>
        <w:t>mento de la ‘movilidad sostenible’ como, p</w:t>
      </w:r>
      <w:r>
        <w:rPr>
          <w:rFonts w:ascii="Arial" w:hAnsi="Arial" w:cs="Arial"/>
          <w:color w:val="000000" w:themeColor="text1"/>
          <w:sz w:val="24"/>
          <w:szCs w:val="24"/>
          <w:shd w:val="clear" w:color="auto" w:fill="FFFFFF"/>
          <w:lang w:eastAsia="es-ES"/>
        </w:rPr>
        <w:t>or ejemplo, ilumin</w:t>
      </w:r>
      <w:r>
        <w:rPr>
          <w:rFonts w:ascii="Arial" w:hAnsi="Arial" w:cs="Arial"/>
          <w:color w:val="000000" w:themeColor="text1"/>
          <w:sz w:val="24"/>
          <w:szCs w:val="24"/>
          <w:shd w:val="clear" w:color="auto" w:fill="FFFFFF"/>
          <w:lang w:eastAsia="es-ES"/>
        </w:rPr>
        <w:t>a</w:t>
      </w:r>
      <w:r>
        <w:rPr>
          <w:rFonts w:ascii="Arial" w:hAnsi="Arial" w:cs="Arial"/>
          <w:color w:val="000000" w:themeColor="text1"/>
          <w:sz w:val="24"/>
          <w:szCs w:val="24"/>
          <w:shd w:val="clear" w:color="auto" w:fill="FFFFFF"/>
          <w:lang w:eastAsia="es-ES"/>
        </w:rPr>
        <w:t>ción tipo ‘</w:t>
      </w:r>
      <w:proofErr w:type="spellStart"/>
      <w:r>
        <w:rPr>
          <w:rFonts w:ascii="Arial" w:hAnsi="Arial" w:cs="Arial"/>
          <w:color w:val="000000" w:themeColor="text1"/>
          <w:sz w:val="24"/>
          <w:szCs w:val="24"/>
          <w:shd w:val="clear" w:color="auto" w:fill="FFFFFF"/>
          <w:lang w:eastAsia="es-ES"/>
        </w:rPr>
        <w:t>led</w:t>
      </w:r>
      <w:proofErr w:type="spellEnd"/>
      <w:r>
        <w:rPr>
          <w:rFonts w:ascii="Arial" w:hAnsi="Arial" w:cs="Arial"/>
          <w:color w:val="000000" w:themeColor="text1"/>
          <w:sz w:val="24"/>
          <w:szCs w:val="24"/>
          <w:shd w:val="clear" w:color="auto" w:fill="FFFFFF"/>
          <w:lang w:eastAsia="es-ES"/>
        </w:rPr>
        <w:t>’, iluminación singular, aparcamiento inteligente, a</w:t>
      </w:r>
      <w:r>
        <w:rPr>
          <w:rFonts w:ascii="Arial" w:hAnsi="Arial" w:cs="Arial"/>
          <w:color w:val="000000" w:themeColor="text1"/>
          <w:sz w:val="24"/>
          <w:szCs w:val="24"/>
          <w:shd w:val="clear" w:color="auto" w:fill="FFFFFF"/>
          <w:lang w:eastAsia="es-ES"/>
        </w:rPr>
        <w:t>u</w:t>
      </w:r>
      <w:r>
        <w:rPr>
          <w:rFonts w:ascii="Arial" w:hAnsi="Arial" w:cs="Arial"/>
          <w:color w:val="000000" w:themeColor="text1"/>
          <w:sz w:val="24"/>
          <w:szCs w:val="24"/>
          <w:shd w:val="clear" w:color="auto" w:fill="FFFFFF"/>
          <w:lang w:eastAsia="es-ES"/>
        </w:rPr>
        <w:t>tobuses eléctricos, entre otras.</w:t>
      </w:r>
    </w:p>
    <w:p w:rsidR="00B53117" w:rsidRDefault="00B53117">
      <w:pPr>
        <w:pStyle w:val="Prrafodelista"/>
        <w:rPr>
          <w:rFonts w:ascii="Arial" w:hAnsi="Arial" w:cs="Arial"/>
          <w:color w:val="000000" w:themeColor="text1"/>
          <w:sz w:val="24"/>
          <w:szCs w:val="24"/>
          <w:shd w:val="clear" w:color="auto" w:fill="FFFFFF"/>
          <w:lang w:eastAsia="es-ES"/>
        </w:rPr>
      </w:pPr>
    </w:p>
    <w:p w:rsidR="00B53117" w:rsidRDefault="00A95C7A">
      <w:pPr>
        <w:pStyle w:val="Prrafodelista"/>
        <w:numPr>
          <w:ilvl w:val="0"/>
          <w:numId w:val="1"/>
        </w:numPr>
        <w:jc w:val="both"/>
        <w:rPr>
          <w:sz w:val="24"/>
          <w:szCs w:val="24"/>
        </w:rPr>
      </w:pPr>
      <w:r>
        <w:rPr>
          <w:rFonts w:ascii="Arial" w:hAnsi="Arial" w:cs="Arial"/>
          <w:b/>
          <w:color w:val="000000" w:themeColor="text1"/>
          <w:sz w:val="24"/>
          <w:szCs w:val="24"/>
          <w:shd w:val="clear" w:color="auto" w:fill="FFFFFF"/>
          <w:lang w:eastAsia="es-ES"/>
        </w:rPr>
        <w:t>Eje 3.</w:t>
      </w:r>
      <w:r>
        <w:rPr>
          <w:rFonts w:ascii="Arial" w:hAnsi="Arial" w:cs="Arial"/>
          <w:color w:val="000000" w:themeColor="text1"/>
          <w:sz w:val="24"/>
          <w:szCs w:val="24"/>
          <w:shd w:val="clear" w:color="auto" w:fill="FFFFFF"/>
          <w:lang w:eastAsia="es-ES"/>
        </w:rPr>
        <w:t xml:space="preserve"> Actuaciones en el ámbito de la transición digital: uso de la tecnología como, por ejemplo, plataforma web, </w:t>
      </w:r>
      <w:proofErr w:type="spellStart"/>
      <w:r>
        <w:rPr>
          <w:rFonts w:ascii="Arial" w:hAnsi="Arial" w:cs="Arial"/>
          <w:color w:val="000000" w:themeColor="text1"/>
          <w:sz w:val="24"/>
          <w:szCs w:val="24"/>
          <w:shd w:val="clear" w:color="auto" w:fill="FFFFFF"/>
          <w:lang w:eastAsia="es-ES"/>
        </w:rPr>
        <w:t>wifi</w:t>
      </w:r>
      <w:proofErr w:type="spellEnd"/>
      <w:r>
        <w:rPr>
          <w:rFonts w:ascii="Arial" w:hAnsi="Arial" w:cs="Arial"/>
          <w:color w:val="000000" w:themeColor="text1"/>
          <w:sz w:val="24"/>
          <w:szCs w:val="24"/>
          <w:shd w:val="clear" w:color="auto" w:fill="FFFFFF"/>
          <w:lang w:eastAsia="es-ES"/>
        </w:rPr>
        <w:t>, apoyo a e</w:t>
      </w:r>
      <w:r>
        <w:rPr>
          <w:rFonts w:ascii="Arial" w:hAnsi="Arial" w:cs="Arial"/>
          <w:color w:val="000000" w:themeColor="text1"/>
          <w:sz w:val="24"/>
          <w:szCs w:val="24"/>
          <w:shd w:val="clear" w:color="auto" w:fill="FFFFFF"/>
          <w:lang w:eastAsia="es-ES"/>
        </w:rPr>
        <w:t>m</w:t>
      </w:r>
      <w:r>
        <w:rPr>
          <w:rFonts w:ascii="Arial" w:hAnsi="Arial" w:cs="Arial"/>
          <w:color w:val="000000" w:themeColor="text1"/>
          <w:sz w:val="24"/>
          <w:szCs w:val="24"/>
          <w:shd w:val="clear" w:color="auto" w:fill="FFFFFF"/>
          <w:lang w:eastAsia="es-ES"/>
        </w:rPr>
        <w:t>presas</w:t>
      </w:r>
      <w:r>
        <w:rPr>
          <w:rFonts w:ascii="Arial" w:hAnsi="Arial" w:cs="Arial"/>
          <w:color w:val="000000" w:themeColor="text1"/>
          <w:sz w:val="24"/>
          <w:szCs w:val="24"/>
          <w:shd w:val="clear" w:color="auto" w:fill="FFFFFF"/>
          <w:lang w:eastAsia="es-ES"/>
        </w:rPr>
        <w:t xml:space="preserve"> del sector, entre otras.</w:t>
      </w:r>
    </w:p>
    <w:p w:rsidR="00B53117" w:rsidRDefault="00B53117">
      <w:pPr>
        <w:pStyle w:val="Prrafodelista"/>
        <w:rPr>
          <w:rFonts w:ascii="Arial" w:hAnsi="Arial" w:cs="Arial"/>
          <w:b/>
          <w:color w:val="000000" w:themeColor="text1"/>
          <w:sz w:val="24"/>
          <w:szCs w:val="24"/>
          <w:shd w:val="clear" w:color="auto" w:fill="FFFFFF"/>
          <w:lang w:eastAsia="es-ES"/>
        </w:rPr>
      </w:pPr>
    </w:p>
    <w:p w:rsidR="00B53117" w:rsidRDefault="00A95C7A">
      <w:pPr>
        <w:pStyle w:val="Prrafodelista"/>
        <w:numPr>
          <w:ilvl w:val="0"/>
          <w:numId w:val="1"/>
        </w:numPr>
        <w:jc w:val="both"/>
        <w:rPr>
          <w:sz w:val="24"/>
          <w:szCs w:val="24"/>
        </w:rPr>
      </w:pPr>
      <w:r>
        <w:rPr>
          <w:rFonts w:ascii="Arial" w:hAnsi="Arial" w:cs="Arial"/>
          <w:b/>
          <w:color w:val="000000" w:themeColor="text1"/>
          <w:sz w:val="24"/>
          <w:szCs w:val="24"/>
          <w:shd w:val="clear" w:color="auto" w:fill="FFFFFF"/>
          <w:lang w:eastAsia="es-ES"/>
        </w:rPr>
        <w:t xml:space="preserve">Eje 4. </w:t>
      </w:r>
      <w:r>
        <w:rPr>
          <w:rFonts w:ascii="Arial" w:hAnsi="Arial" w:cs="Arial"/>
          <w:color w:val="000000" w:themeColor="text1"/>
          <w:sz w:val="24"/>
          <w:szCs w:val="24"/>
          <w:shd w:val="clear" w:color="auto" w:fill="FFFFFF"/>
          <w:lang w:eastAsia="es-ES"/>
        </w:rPr>
        <w:t>Actuaciones en el ámbito de la competitividad: mejora constante de la gestión del destino como, por ejemplo, la rec</w:t>
      </w:r>
      <w:r>
        <w:rPr>
          <w:rFonts w:ascii="Arial" w:hAnsi="Arial" w:cs="Arial"/>
          <w:color w:val="000000" w:themeColor="text1"/>
          <w:sz w:val="24"/>
          <w:szCs w:val="24"/>
          <w:shd w:val="clear" w:color="auto" w:fill="FFFFFF"/>
          <w:lang w:eastAsia="es-ES"/>
        </w:rPr>
        <w:t>u</w:t>
      </w:r>
      <w:r>
        <w:rPr>
          <w:rFonts w:ascii="Arial" w:hAnsi="Arial" w:cs="Arial"/>
          <w:color w:val="000000" w:themeColor="text1"/>
          <w:sz w:val="24"/>
          <w:szCs w:val="24"/>
          <w:shd w:val="clear" w:color="auto" w:fill="FFFFFF"/>
          <w:lang w:eastAsia="es-ES"/>
        </w:rPr>
        <w:t>peración y mejora de espacio turístico, mejora de la accesibil</w:t>
      </w:r>
      <w:r>
        <w:rPr>
          <w:rFonts w:ascii="Arial" w:hAnsi="Arial" w:cs="Arial"/>
          <w:color w:val="000000" w:themeColor="text1"/>
          <w:sz w:val="24"/>
          <w:szCs w:val="24"/>
          <w:shd w:val="clear" w:color="auto" w:fill="FFFFFF"/>
          <w:lang w:eastAsia="es-ES"/>
        </w:rPr>
        <w:t>i</w:t>
      </w:r>
      <w:r>
        <w:rPr>
          <w:rFonts w:ascii="Arial" w:hAnsi="Arial" w:cs="Arial"/>
          <w:color w:val="000000" w:themeColor="text1"/>
          <w:sz w:val="24"/>
          <w:szCs w:val="24"/>
          <w:shd w:val="clear" w:color="auto" w:fill="FFFFFF"/>
          <w:lang w:eastAsia="es-ES"/>
        </w:rPr>
        <w:t xml:space="preserve">dad, creación de equipamientos turísticos, </w:t>
      </w:r>
      <w:r>
        <w:rPr>
          <w:rFonts w:ascii="Arial" w:hAnsi="Arial" w:cs="Arial"/>
          <w:color w:val="000000" w:themeColor="text1"/>
          <w:sz w:val="24"/>
          <w:szCs w:val="24"/>
          <w:shd w:val="clear" w:color="auto" w:fill="FFFFFF"/>
          <w:lang w:eastAsia="es-ES"/>
        </w:rPr>
        <w:t>entre otras.</w:t>
      </w:r>
    </w:p>
    <w:p w:rsidR="00B53117" w:rsidRDefault="00A95C7A">
      <w:pPr>
        <w:jc w:val="both"/>
        <w:rPr>
          <w:szCs w:val="24"/>
        </w:rPr>
      </w:pPr>
      <w:r>
        <w:rPr>
          <w:rFonts w:ascii="Arial" w:hAnsi="Arial" w:cs="Arial"/>
          <w:szCs w:val="24"/>
        </w:rPr>
        <w:t xml:space="preserve">La </w:t>
      </w:r>
      <w:r>
        <w:rPr>
          <w:rFonts w:ascii="Arial" w:hAnsi="Arial" w:cs="Arial"/>
          <w:szCs w:val="24"/>
        </w:rPr>
        <w:t xml:space="preserve">otra subvención a la que opta el Gobierno local </w:t>
      </w:r>
      <w:r>
        <w:rPr>
          <w:rFonts w:ascii="Arial" w:hAnsi="Arial" w:cs="Arial"/>
          <w:szCs w:val="24"/>
        </w:rPr>
        <w:t xml:space="preserve">se denomina </w:t>
      </w:r>
      <w:r>
        <w:rPr>
          <w:rFonts w:ascii="Arial" w:hAnsi="Arial" w:cs="Arial"/>
          <w:b/>
          <w:bCs/>
          <w:szCs w:val="24"/>
        </w:rPr>
        <w:t>‘Transformación digital y modernización de las entidades locales que forman parte de la Red de Destinos Turísticos Inteligentes’</w:t>
      </w:r>
      <w:r>
        <w:rPr>
          <w:rFonts w:ascii="Arial" w:hAnsi="Arial" w:cs="Arial"/>
          <w:szCs w:val="24"/>
        </w:rPr>
        <w:t xml:space="preserve"> y contempla una inversión máxima de 200.000 euros. El plazo de presentación será de un mes una vez se publique en el B.O.E. El importe de la subvención será mínimo de un 60% y máximo de un 100% sobre el presupuesto del proyecto financiable. Asimismo, podr</w:t>
      </w:r>
      <w:r>
        <w:rPr>
          <w:rFonts w:ascii="Arial" w:hAnsi="Arial" w:cs="Arial"/>
          <w:szCs w:val="24"/>
        </w:rPr>
        <w:t>á ser cofinanciado hasta en un 40% por el beneficiario de la ayuda y por la Comunidad Autónoma.</w:t>
      </w:r>
    </w:p>
    <w:p w:rsidR="00B53117" w:rsidRDefault="00B53117">
      <w:pPr>
        <w:jc w:val="both"/>
        <w:rPr>
          <w:rFonts w:ascii="Arial" w:hAnsi="Arial" w:cs="Arial"/>
          <w:szCs w:val="24"/>
        </w:rPr>
      </w:pPr>
    </w:p>
    <w:p w:rsidR="00B53117" w:rsidRDefault="00A95C7A">
      <w:pPr>
        <w:jc w:val="both"/>
        <w:rPr>
          <w:szCs w:val="24"/>
        </w:rPr>
      </w:pPr>
      <w:r>
        <w:rPr>
          <w:rFonts w:ascii="Arial" w:hAnsi="Arial" w:cs="Arial"/>
          <w:szCs w:val="24"/>
        </w:rPr>
        <w:t>Las actuaciones que se contemplan en esta subvención son las que siguen: facilitar el acceso al turista en su lugar de origen: la mejora de comunicación y acce</w:t>
      </w:r>
      <w:r>
        <w:rPr>
          <w:rFonts w:ascii="Arial" w:hAnsi="Arial" w:cs="Arial"/>
          <w:szCs w:val="24"/>
        </w:rPr>
        <w:t>so de recursos y servicios por parte del turista en destino; el desarrollo de herramientas TIC y el fomento de gobernanza pública y acceso a tecnología.</w:t>
      </w:r>
    </w:p>
    <w:p w:rsidR="00B53117" w:rsidRDefault="00B53117">
      <w:pPr>
        <w:jc w:val="both"/>
        <w:rPr>
          <w:color w:val="000000" w:themeColor="text1"/>
          <w:szCs w:val="24"/>
        </w:rPr>
      </w:pPr>
    </w:p>
    <w:p w:rsidR="00B53117" w:rsidRDefault="00B53117">
      <w:pPr>
        <w:jc w:val="both"/>
        <w:rPr>
          <w:rFonts w:ascii="Arial" w:hAnsi="Arial" w:cs="Arial"/>
          <w:color w:val="000000" w:themeColor="text1"/>
          <w:szCs w:val="24"/>
        </w:rPr>
      </w:pPr>
    </w:p>
    <w:p w:rsidR="00B53117" w:rsidRDefault="00B53117">
      <w:pPr>
        <w:jc w:val="both"/>
        <w:rPr>
          <w:rFonts w:ascii="Arial" w:hAnsi="Arial" w:cs="Arial"/>
          <w:color w:val="000000" w:themeColor="text1"/>
          <w:szCs w:val="24"/>
        </w:rPr>
      </w:pPr>
    </w:p>
    <w:p w:rsidR="00B53117" w:rsidRDefault="00B53117">
      <w:pPr>
        <w:jc w:val="both"/>
        <w:rPr>
          <w:rFonts w:ascii="Arial" w:hAnsi="Arial" w:cs="Arial"/>
          <w:color w:val="000000" w:themeColor="text1"/>
          <w:szCs w:val="24"/>
        </w:rPr>
      </w:pPr>
    </w:p>
    <w:p w:rsidR="00B53117" w:rsidRDefault="00A95C7A">
      <w:pPr>
        <w:jc w:val="both"/>
        <w:rPr>
          <w:rFonts w:ascii="Arial" w:hAnsi="Arial"/>
          <w:color w:val="000000" w:themeColor="text1"/>
        </w:rPr>
      </w:pPr>
      <w:r>
        <w:rPr>
          <w:rFonts w:ascii="Arial" w:hAnsi="Arial" w:cs="Arial"/>
          <w:color w:val="000000" w:themeColor="text1"/>
          <w:sz w:val="26"/>
          <w:szCs w:val="26"/>
        </w:rPr>
        <w:t xml:space="preserve"> </w:t>
      </w:r>
    </w:p>
    <w:sectPr w:rsidR="00B53117">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7A" w:rsidRDefault="00A95C7A">
      <w:r>
        <w:separator/>
      </w:r>
    </w:p>
  </w:endnote>
  <w:endnote w:type="continuationSeparator" w:id="0">
    <w:p w:rsidR="00A95C7A" w:rsidRDefault="00A9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7" w:rsidRDefault="00B53117">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7A" w:rsidRDefault="00A95C7A">
      <w:r>
        <w:separator/>
      </w:r>
    </w:p>
  </w:footnote>
  <w:footnote w:type="continuationSeparator" w:id="0">
    <w:p w:rsidR="00A95C7A" w:rsidRDefault="00A9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7" w:rsidRDefault="00A95C7A">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D91"/>
    <w:multiLevelType w:val="multilevel"/>
    <w:tmpl w:val="B5F89A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27A6770"/>
    <w:multiLevelType w:val="multilevel"/>
    <w:tmpl w:val="DD14CF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17"/>
    <w:rsid w:val="0019644F"/>
    <w:rsid w:val="00A95C7A"/>
    <w:rsid w:val="00B531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6AB2"/>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6AB2"/>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632</Words>
  <Characters>3481</Characters>
  <Application>Microsoft Office Word</Application>
  <DocSecurity>0</DocSecurity>
  <Lines>29</Lines>
  <Paragraphs>8</Paragraphs>
  <ScaleCrop>false</ScaleCrop>
  <Company>HP</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164</cp:revision>
  <cp:lastPrinted>1995-11-21T16:41:00Z</cp:lastPrinted>
  <dcterms:created xsi:type="dcterms:W3CDTF">2021-05-06T08:14:00Z</dcterms:created>
  <dcterms:modified xsi:type="dcterms:W3CDTF">2022-03-22T09:22:00Z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