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sz w:val="28"/>
          <w:szCs w:val="28"/>
          <w:u w:val="single"/>
        </w:rPr>
        <w:t>F</w:t>
      </w:r>
      <w:r>
        <w:rPr>
          <w:rFonts w:cs="Arial" w:ascii="Arial" w:hAnsi="Arial"/>
          <w:b/>
          <w:sz w:val="28"/>
          <w:szCs w:val="28"/>
          <w:u w:val="single"/>
        </w:rPr>
        <w:t>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La alcaldesa da la bienvenida al alumnado a la </w:t>
      </w:r>
      <w:r>
        <w:rPr>
          <w:rFonts w:eastAsia="Times New Roman" w:cs="Arial" w:ascii="Arial" w:hAnsi="Arial"/>
          <w:b/>
          <w:color w:val="auto"/>
          <w:kern w:val="2"/>
          <w:sz w:val="36"/>
          <w:szCs w:val="36"/>
          <w:lang w:val="es-ES" w:eastAsia="zh-CN" w:bidi="ar-SA"/>
        </w:rPr>
        <w:t xml:space="preserve"> </w:t>
      </w:r>
      <w:r>
        <w:rPr>
          <w:rFonts w:eastAsia="Times New Roman" w:cs="Arial" w:ascii="Arial" w:hAnsi="Arial"/>
          <w:b/>
          <w:bCs w:val="false"/>
          <w:color w:val="auto"/>
          <w:kern w:val="2"/>
          <w:sz w:val="36"/>
          <w:szCs w:val="36"/>
          <w:lang w:val="es-ES" w:eastAsia="zh-CN" w:bidi="ar-SA"/>
        </w:rPr>
        <w:t xml:space="preserve">que ha asistido al audiovisual </w:t>
      </w: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>‘Palco en La Atalaya’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8 de abril de 2022.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La alcaldesa, Mamen Sánchez, ha dado hoy la bienvenida al alumnado que ha asistido hoy en los Museos de La Atalaya a la sesión del audiovisual</w:t>
      </w:r>
      <w:r>
        <w:rPr>
          <w:rFonts w:eastAsia="Trebuchet MS" w:cs="Ari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rebuchet MS" w:cs="Arial" w:ascii="Arial" w:hAnsi="Arial"/>
          <w:b w:val="false"/>
          <w:bCs/>
          <w:color w:val="000000"/>
          <w:sz w:val="24"/>
          <w:szCs w:val="24"/>
        </w:rPr>
        <w:t xml:space="preserve">‘Palco en La Atalaya,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miradas fotográficas a la Semana Santa de Jerez, una experiencia audiovisual de 360º’.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Casi un millar de estudiantes de varios centros educativos han podido disfrutar hoy de la primera sesión de este espectáculo audiovisual tras su inauguración de ayer. La regidora ha invitado a los pequeños espectadores a disfrutar de las imágenes de la Semana Santa que se ofrecen este este montaje y a apreciar los detalles de estas fotografías de distintas épocas. Ha recomendado a toda la ciudadanía que asista a presenciar este espectáculo audiovisual,  que es posible gracias a la tecnología de la que dispone la sala multimedia de La Atalaya, y a sus cuatro pantallas de más de 20 metros de largo.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Los centros participantes en esta experiencia han sido los CEIP La Unión, Cervantes, Isabel La Católica y Alfonso X El Sabio, además del Colegio El Pilar.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Desde mañana sábado día 9 hasta Jueves Santo, </w:t>
      </w:r>
      <w:r>
        <w:rPr>
          <w:rFonts w:eastAsia="Trebuchet MS" w:cs="Arial" w:ascii="Arial" w:hAnsi="Arial"/>
          <w:b w:val="false"/>
          <w:bCs/>
          <w:color w:val="000000"/>
          <w:sz w:val="24"/>
          <w:szCs w:val="24"/>
        </w:rPr>
        <w:t xml:space="preserve">‘Palco en La Atalaya,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miradas fotográficas a la Semana Santa de Jerez, una experiencia audiovisual de 360º’ podrá ser visitada por la ciudadanía en general, en pases de 10.30, 11.30, 12.30 y 13.30 horas. </w:t>
      </w:r>
    </w:p>
    <w:p>
      <w:pPr>
        <w:pStyle w:val="Normal"/>
        <w:spacing w:before="0" w:after="142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tbl>
      <w:tblPr>
        <w:tblW w:w="7663" w:type="dxa"/>
        <w:jc w:val="left"/>
        <w:tblInd w:w="4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/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Se adjunta fotografía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Application>LibreOffice/7.1.7.2$Windows_X86_64 LibreOffice_project/c6a4e3954236145e2acb0b65f68614365aeee33f</Application>
  <AppVersion>15.0000</AppVersion>
  <Pages>1</Pages>
  <Words>240</Words>
  <Characters>1174</Characters>
  <CharactersWithSpaces>1410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2022-04-08T12:13:49Z</dcterms:modified>
  <cp:revision>223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