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Ayuntamiento a través del</w:t>
      </w:r>
      <w:r>
        <w:rPr>
          <w:rFonts w:cs="Arial" w:ascii="Arial" w:hAnsi="Arial"/>
          <w:b/>
          <w:bCs/>
          <w:sz w:val="36"/>
          <w:szCs w:val="36"/>
        </w:rPr>
        <w:t xml:space="preserve"> Centro Asesor de la Mujeres inicia un programa de apoyo psicológico grupal para usuarias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rPr>
          <w:sz w:val="32"/>
          <w:szCs w:val="32"/>
        </w:rPr>
      </w:pPr>
      <w:r>
        <w:rPr>
          <w:rFonts w:eastAsia="Tahoma" w:cs="Arial" w:ascii="Arial" w:hAnsi="Arial"/>
          <w:sz w:val="32"/>
          <w:szCs w:val="32"/>
        </w:rPr>
        <w:t>La iniciativa está financiada con Fondos del Pacto de Estado contra la Violencia de Género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17</w:t>
      </w: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 xml:space="preserve"> de abril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.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El Ayuntamiento de Jerez, a través de l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a Delegación de Igualdad y Diversidad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,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pone en marcha espacios de refuerzo personal dirigidos a las usuarias del Centro Asesor de la Mujer vinculadas a su programa de atención psicológica, financiado con los Fondos del Pacto de Estado contra la Violencia de Género. Se trata de una iniciativa</w:t>
      </w:r>
      <w:r>
        <w:rPr>
          <w:rFonts w:ascii="Arial" w:hAnsi="Arial"/>
          <w:sz w:val="24"/>
          <w:szCs w:val="24"/>
        </w:rPr>
        <w:t xml:space="preserve"> de refuerzo psicológico, motivación y autoapoyo grupal, que funcionará desde el mes de abril hasta junio, con diferentes grupos de mujeres de en torno a catorce participantes.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Estos grupos estarán conducidos por una psicóloga y una trabajadora social especializadas en materia de violencia de género y atención a situaciones de conflicto por crisis o ruptura en la pareja. Cada mujer participante se integrará en seis sesiones grupales semanales de dos horas de duración, más sesiones individuales de evaluación.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sz w:val="24"/>
          <w:szCs w:val="24"/>
        </w:rPr>
        <w:t>Se desarrollarán tres perfiles grupales; uno con objetivos de restauración emocional, tras acogida en crisis, otro con objetivos de dinamización s</w:t>
      </w:r>
      <w:r>
        <w:rPr>
          <w:rFonts w:eastAsia="Tahoma" w:cs="Arial" w:ascii="Arial" w:hAnsi="Arial"/>
          <w:b w:val="false"/>
          <w:bCs w:val="false"/>
          <w:color w:val="000000"/>
          <w:sz w:val="24"/>
          <w:szCs w:val="24"/>
        </w:rPr>
        <w:t>ocial, para mujeres con diferentes inquietudes y motivación de logro, y un tercer perfil, que abordará la temática de la marentalidad positiva. Todas las mujeres que participen en este programa son valoradas previamente y derivadas desde las asesorías del Centro Asesor de la Mujer.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Las actividades grupales contará con el desarrollo de talleres monotemáticos, en base a los siguientes contenidos: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1. Maternidad y Habilidades marentales en situaciones de conflicto.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2. Autoestima, autoconocimiento y autocuidados.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Regulación y expresión emocional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4.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Habilidades Sociales.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Los objetivos del programa son g</w:t>
      </w:r>
      <w:r>
        <w:rPr>
          <w:rFonts w:eastAsia="Tahoma" w:cs="Arial" w:ascii="Arial" w:hAnsi="Arial"/>
          <w:b w:val="false"/>
          <w:bCs w:val="false"/>
          <w:sz w:val="24"/>
          <w:szCs w:val="24"/>
        </w:rPr>
        <w:t>enerar espacios de autoapoyo entre mujeres, guiados por profesionales competentes para sostene</w:t>
      </w:r>
      <w:r>
        <w:rPr>
          <w:rFonts w:eastAsia="Tahoma" w:cs="Arial" w:ascii="Arial" w:hAnsi="Arial"/>
          <w:b w:val="false"/>
          <w:bCs w:val="false"/>
          <w:color w:val="000000"/>
          <w:sz w:val="24"/>
          <w:szCs w:val="24"/>
        </w:rPr>
        <w:t>r y acompañar emocionalmente a aquellas mujeres que se encuentran en una situación de ruptura de pareja para iniciar proceso judicial en este ámbito o en un proceso por violencia de género;  facilitar herramientas de contención emocional e instrumentos de re</w:t>
      </w:r>
      <w:r>
        <w:rPr>
          <w:rFonts w:eastAsia="Tahoma" w:cs="Arial" w:ascii="Arial" w:hAnsi="Arial"/>
          <w:b w:val="false"/>
          <w:bCs w:val="false"/>
          <w:sz w:val="24"/>
          <w:szCs w:val="24"/>
        </w:rPr>
        <w:t>fuerzo personal, con objetivos de restauración psicoemocional, y desarrollo de la autonomía emocional en las mujeres; propiciar espacios de encuentro para el afrontamiento de las situaciones problema en las que se encuentran las mujeres, facilitando experiencias de crecimiento personal, y de desarrollo social.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sz w:val="24"/>
          <w:szCs w:val="24"/>
        </w:rPr>
        <w:t>La delegada Ana Hérica Ramos destaca que “es fundamental que desde las instituciones que velamos por la seguridad y los derechos de las mujeres, desarrollemos espacios de atención y acompañamiento emocional, al objeto de asegurar bases para preservar la dignidad personal, y reforzar las capacidades y habilidades en pro de generar oportunidades nuevas y actitudes de afrontamiento”.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En este sentido, desde la Delegación de Igualdad y Diversidad se trabaja en el ámbito de la sensibilización y la educación, donde forjamos los principios desde los que nos relacionamos con nuestro entorno social y familiar, atendiendo al despliegue de espacios de reconstrucción de las relaciones psicoafectivas.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cartel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LibreOffice/7.1.7.2$Windows_X86_64 LibreOffice_project/c6a4e3954236145e2acb0b65f68614365aeee33f</Application>
  <AppVersion>15.0000</AppVersion>
  <Pages>2</Pages>
  <Words>480</Words>
  <Characters>2726</Characters>
  <CharactersWithSpaces>3195</CharactersWithSpaces>
  <Paragraphs>15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cp:lastPrinted>2022-04-08T14:16:28Z</cp:lastPrinted>
  <dcterms:modified xsi:type="dcterms:W3CDTF">2022-04-11T09:18:49Z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