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spacing w:lineRule="auto" w:line="240"/>
        <w:rPr>
          <w:rFonts w:ascii="Arial" w:hAnsi="Arial" w:eastAsia="Times New Roman" w:cs="Arial"/>
          <w:b/>
          <w:b/>
          <w:bCs/>
          <w:color w:val="auto"/>
          <w:kern w:val="2"/>
          <w:sz w:val="36"/>
          <w:szCs w:val="40"/>
          <w:lang w:val="es-ES" w:eastAsia="zh-CN" w:bidi="ar-SA"/>
        </w:rPr>
      </w:pPr>
      <w:r>
        <w:rPr>
          <w:rFonts w:eastAsia="Times New Roman" w:cs="Arial" w:ascii="Arial" w:hAnsi="Arial"/>
          <w:b/>
          <w:bCs/>
          <w:color w:val="auto"/>
          <w:kern w:val="2"/>
          <w:sz w:val="36"/>
          <w:szCs w:val="40"/>
          <w:lang w:val="es-ES" w:eastAsia="zh-CN" w:bidi="ar-SA"/>
        </w:rPr>
        <w:t>Se reanudan las visitas de ‘Jerez Educa’ al Parque de Bomberos, en las que participarán 700 estudiantes este curso</w:t>
      </w:r>
    </w:p>
    <w:p>
      <w:pPr>
        <w:pStyle w:val="Cuerpodetexto"/>
        <w:spacing w:lineRule="auto" w:line="240"/>
        <w:rPr>
          <w:rFonts w:ascii="Arial" w:hAnsi="Arial" w:eastAsia="Times New Roman" w:cs="Arial"/>
          <w:color w:val="auto"/>
          <w:kern w:val="2"/>
          <w:sz w:val="12"/>
          <w:szCs w:val="12"/>
          <w:lang w:val="es-ES" w:eastAsia="zh-CN" w:bidi="ar-SA"/>
        </w:rPr>
      </w:pPr>
      <w:r>
        <w:rPr>
          <w:rFonts w:eastAsia="Times New Roman" w:cs="Arial" w:ascii="Arial" w:hAnsi="Arial"/>
          <w:color w:val="auto"/>
          <w:kern w:val="2"/>
          <w:sz w:val="12"/>
          <w:szCs w:val="12"/>
          <w:lang w:val="es-ES" w:eastAsia="zh-CN" w:bidi="ar-SA"/>
        </w:rPr>
      </w:r>
    </w:p>
    <w:p>
      <w:pPr>
        <w:pStyle w:val="Cuerpodetexto"/>
        <w:spacing w:lineRule="auto" w:line="240" w:before="0" w:after="140"/>
        <w:jc w:val="both"/>
        <w:rPr>
          <w:sz w:val="24"/>
          <w:szCs w:val="24"/>
        </w:rPr>
      </w:pPr>
      <w:r>
        <w:rPr>
          <w:rFonts w:eastAsia="Times New Roman" w:cs="Arial" w:ascii="Arial" w:hAnsi="Arial"/>
          <w:b/>
          <w:bCs/>
          <w:color w:val="auto"/>
          <w:kern w:val="2"/>
          <w:sz w:val="24"/>
          <w:szCs w:val="24"/>
          <w:lang w:val="es-ES" w:eastAsia="zh-CN" w:bidi="ar-SA"/>
        </w:rPr>
        <w:t>9 de mayo de 2022</w:t>
      </w:r>
      <w:r>
        <w:rPr>
          <w:rFonts w:cs="Arial" w:ascii="Arial" w:hAnsi="Arial"/>
          <w:b/>
          <w:bCs/>
          <w:sz w:val="24"/>
          <w:szCs w:val="24"/>
        </w:rPr>
        <w:t>.</w:t>
      </w:r>
      <w:r>
        <w:rPr>
          <w:rFonts w:cs="Arial" w:ascii="Arial" w:hAnsi="Arial"/>
          <w:sz w:val="24"/>
          <w:szCs w:val="24"/>
        </w:rPr>
        <w:t xml:space="preserve"> El delegado de Reactivación Económica, Captación de Inversiones, Educación y Empleo, Juan Antonio Cabello, ha acompañado al alumnado del IES Sofía en una visita que ha hecho al Parque de Bomberos, enmarcada en la oferta educativa municipal, ‘Jerez Educa’. En las instalaciones les dio la bienvenida la intendente del Consorcio de Bomberos de la Provincia de Cádiz, María Jesús Palacio Herce.</w:t>
      </w:r>
    </w:p>
    <w:p>
      <w:pPr>
        <w:pStyle w:val="Cuerpodetexto"/>
        <w:spacing w:lineRule="auto" w:line="240" w:before="0" w:after="140"/>
        <w:jc w:val="both"/>
        <w:rPr>
          <w:sz w:val="24"/>
          <w:szCs w:val="24"/>
        </w:rPr>
      </w:pPr>
      <w:r>
        <w:rPr>
          <w:rFonts w:cs="Arial" w:ascii="Arial" w:hAnsi="Arial"/>
          <w:sz w:val="24"/>
          <w:szCs w:val="24"/>
        </w:rPr>
        <w:t xml:space="preserve">Estas visitas se </w:t>
      </w:r>
      <w:r>
        <w:rPr>
          <w:rFonts w:cs="Arial" w:ascii="Arial" w:hAnsi="Arial"/>
          <w:sz w:val="24"/>
          <w:szCs w:val="24"/>
        </w:rPr>
        <w:t>reanudaron</w:t>
      </w:r>
      <w:r>
        <w:rPr>
          <w:rFonts w:cs="Arial" w:ascii="Arial" w:hAnsi="Arial"/>
          <w:sz w:val="24"/>
          <w:szCs w:val="24"/>
        </w:rPr>
        <w:t xml:space="preserve"> </w:t>
      </w:r>
      <w:r>
        <w:rPr>
          <w:rFonts w:cs="Arial" w:ascii="Arial" w:hAnsi="Arial"/>
          <w:sz w:val="24"/>
          <w:szCs w:val="24"/>
        </w:rPr>
        <w:t>en el</w:t>
      </w:r>
      <w:r>
        <w:rPr>
          <w:rFonts w:cs="Arial" w:ascii="Arial" w:hAnsi="Arial"/>
          <w:sz w:val="24"/>
          <w:szCs w:val="24"/>
        </w:rPr>
        <w:t xml:space="preserve"> mes de marzo, tras interrumpirse durante estos  dos últimos años a causa de la pandemia. La reposición de esta actividad </w:t>
      </w:r>
      <w:r>
        <w:rPr>
          <w:rFonts w:cs="Arial" w:ascii="Arial" w:hAnsi="Arial"/>
          <w:sz w:val="24"/>
          <w:szCs w:val="24"/>
        </w:rPr>
        <w:t>ha coincidido</w:t>
      </w:r>
      <w:r>
        <w:rPr>
          <w:rFonts w:cs="Arial" w:ascii="Arial" w:hAnsi="Arial"/>
          <w:sz w:val="24"/>
          <w:szCs w:val="24"/>
        </w:rPr>
        <w:t xml:space="preserve"> también con la finalización de unas obras de reforma que se han acometido en las instalaciones del parque.</w:t>
      </w:r>
    </w:p>
    <w:p>
      <w:pPr>
        <w:pStyle w:val="Cuerpodetexto"/>
        <w:spacing w:lineRule="auto" w:line="240" w:before="0" w:after="140"/>
        <w:jc w:val="both"/>
        <w:rPr>
          <w:sz w:val="24"/>
          <w:szCs w:val="24"/>
        </w:rPr>
      </w:pPr>
      <w:r>
        <w:rPr>
          <w:rFonts w:eastAsia="Times New Roman" w:cs="Arial" w:ascii="Arial" w:hAnsi="Arial"/>
          <w:b w:val="false"/>
          <w:bCs w:val="false"/>
          <w:color w:val="auto"/>
          <w:kern w:val="2"/>
          <w:sz w:val="24"/>
          <w:szCs w:val="24"/>
          <w:lang w:val="es-ES" w:eastAsia="zh-CN" w:bidi="ar-SA"/>
        </w:rPr>
        <w:t>Este curso van a poder disfrutar de esta actividad unos 700 alumnos y alumnas de Primaria (desde 5º), Secundaria, Ciclos Formativos y Diversidad Funcional, de 13 centros de Jerez.</w:t>
      </w:r>
    </w:p>
    <w:p>
      <w:pPr>
        <w:pStyle w:val="Cuerpodetexto"/>
        <w:spacing w:lineRule="auto" w:line="240" w:before="0" w:after="140"/>
        <w:jc w:val="both"/>
        <w:rPr>
          <w:sz w:val="24"/>
          <w:szCs w:val="24"/>
        </w:rPr>
      </w:pPr>
      <w:r>
        <w:rPr>
          <w:rFonts w:eastAsia="Times New Roman" w:cs="Arial" w:ascii="Arial" w:hAnsi="Arial"/>
          <w:b w:val="false"/>
          <w:bCs w:val="false"/>
          <w:color w:val="auto"/>
          <w:kern w:val="2"/>
          <w:sz w:val="24"/>
          <w:szCs w:val="24"/>
          <w:lang w:val="es-ES" w:eastAsia="zh-CN" w:bidi="ar-SA"/>
        </w:rPr>
        <w:t>El delegado ha explicado que “con esta actividad se pretende que el alumnado conozca de cerca estas instalaciones, desde las que se ofrece a la ciudad un servicio de primordial importancia”. También ha subrayado  que además “este contacto con los bomberos de Jerez  puede servir al alumnado para saber cómo pueden prevenir accidentes y cómo actuar en casos de emergencia,  cuestiones vitales en determinados momentos, que todos deberíamos conocer”.</w:t>
      </w:r>
    </w:p>
    <w:p>
      <w:pPr>
        <w:pStyle w:val="Cuerpodetexto"/>
        <w:spacing w:lineRule="auto" w:line="240" w:before="0" w:after="140"/>
        <w:jc w:val="both"/>
        <w:rPr>
          <w:sz w:val="24"/>
          <w:szCs w:val="24"/>
        </w:rPr>
      </w:pPr>
      <w:r>
        <w:rPr>
          <w:rFonts w:eastAsia="Times New Roman" w:cs="Arial" w:ascii="Arial" w:hAnsi="Arial"/>
          <w:b w:val="false"/>
          <w:bCs w:val="false"/>
          <w:color w:val="auto"/>
          <w:kern w:val="2"/>
          <w:sz w:val="24"/>
          <w:szCs w:val="24"/>
          <w:lang w:val="es-ES" w:eastAsia="zh-CN" w:bidi="ar-SA"/>
        </w:rPr>
        <w:t>En estas visitas guiadas al Parque de Bomberos, el alumnado tiene la posibilidad de aprender cómo se desarrolla en este ámbito la vida diaria, cómo se organizan los servicios destinados a la prevención y extinción de incendios y al salvamento, cómo se organizan las actividades que se realizan y otras curiosidades como qué materiales y vehículos se usan.</w:t>
      </w:r>
    </w:p>
    <w:p>
      <w:pPr>
        <w:pStyle w:val="Cuerpodetexto"/>
        <w:spacing w:lineRule="auto" w:line="240" w:before="0" w:after="140"/>
        <w:jc w:val="both"/>
        <w:rPr>
          <w:sz w:val="24"/>
          <w:szCs w:val="24"/>
        </w:rPr>
      </w:pPr>
      <w:r>
        <w:rPr>
          <w:rFonts w:eastAsia="Times New Roman" w:cs="Arial" w:ascii="Arial" w:hAnsi="Arial"/>
          <w:b w:val="false"/>
          <w:bCs w:val="false"/>
          <w:color w:val="auto"/>
          <w:kern w:val="2"/>
          <w:sz w:val="24"/>
          <w:szCs w:val="24"/>
          <w:lang w:val="es-ES" w:eastAsia="zh-CN" w:bidi="ar-SA"/>
        </w:rPr>
        <w:t>Como complemento y con el apoyo  de un audiovisual se incide en las   medidas a tomar en situaciones de accidente y se realiza un ejercicio práctico para la comprensión de los conceptos de prevención.</w:t>
      </w:r>
    </w:p>
    <w:p>
      <w:pPr>
        <w:pStyle w:val="Cuerpodetexto"/>
        <w:spacing w:lineRule="auto" w:line="240" w:before="0" w:after="140"/>
        <w:jc w:val="both"/>
        <w:rPr>
          <w:sz w:val="24"/>
          <w:szCs w:val="24"/>
        </w:rPr>
      </w:pPr>
      <w:r>
        <w:rPr>
          <w:sz w:val="24"/>
          <w:szCs w:val="24"/>
        </w:rPr>
      </w:r>
    </w:p>
    <w:tbl>
      <w:tblPr>
        <w:tblW w:w="7689" w:type="dxa"/>
        <w:jc w:val="left"/>
        <w:tblInd w:w="-1" w:type="dxa"/>
        <w:tblLayout w:type="fixed"/>
        <w:tblCellMar>
          <w:top w:w="55" w:type="dxa"/>
          <w:left w:w="55" w:type="dxa"/>
          <w:bottom w:w="55" w:type="dxa"/>
          <w:right w:w="55" w:type="dxa"/>
        </w:tblCellMar>
      </w:tblPr>
      <w:tblGrid>
        <w:gridCol w:w="7689"/>
      </w:tblGrid>
      <w:tr>
        <w:trPr/>
        <w:tc>
          <w:tcPr>
            <w:tcW w:w="7689" w:type="dxa"/>
            <w:tcBorders>
              <w:top w:val="single" w:sz="2" w:space="0" w:color="000000"/>
              <w:left w:val="single" w:sz="2" w:space="0" w:color="000000"/>
              <w:right w:val="single" w:sz="2" w:space="0" w:color="000000"/>
            </w:tcBorders>
          </w:tcPr>
          <w:p>
            <w:pPr>
              <w:pStyle w:val="Contenidodelatabla"/>
              <w:widowControl w:val="false"/>
              <w:jc w:val="both"/>
              <w:rPr>
                <w:rFonts w:ascii="Arial" w:hAnsi="Arial" w:cs="Arial"/>
                <w:sz w:val="22"/>
                <w:szCs w:val="22"/>
              </w:rPr>
            </w:pPr>
            <w:r>
              <w:rPr>
                <w:rFonts w:cs="Arial" w:ascii="Arial" w:hAnsi="Arial"/>
                <w:sz w:val="22"/>
                <w:szCs w:val="22"/>
              </w:rPr>
            </w:r>
          </w:p>
        </w:tc>
      </w:tr>
      <w:tr>
        <w:trPr/>
        <w:tc>
          <w:tcPr>
            <w:tcW w:w="7689" w:type="dxa"/>
            <w:tcBorders>
              <w:left w:val="single" w:sz="2" w:space="0" w:color="000000"/>
              <w:bottom w:val="single" w:sz="2" w:space="0" w:color="000000"/>
              <w:right w:val="single" w:sz="2" w:space="0" w:color="000000"/>
            </w:tcBorders>
          </w:tcPr>
          <w:p>
            <w:pPr>
              <w:pStyle w:val="Contenidodelatabla"/>
              <w:widowControl w:val="false"/>
              <w:jc w:val="both"/>
              <w:rPr/>
            </w:pPr>
            <w:hyperlink r:id="rId2">
              <w:r>
                <w:rPr>
                  <w:rStyle w:val="EnlacedeInternet"/>
                  <w:rFonts w:cs="Arial" w:ascii="Arial" w:hAnsi="Arial"/>
                  <w:b w:val="false"/>
                  <w:bCs w:val="false"/>
                  <w:i/>
                  <w:iCs/>
                  <w:color w:val="000000"/>
                  <w:sz w:val="22"/>
                  <w:szCs w:val="22"/>
                  <w:u w:val="none"/>
                </w:rPr>
                <w:t>Se adjunta fotografía</w:t>
              </w:r>
            </w:hyperlink>
          </w:p>
        </w:tc>
      </w:tr>
    </w:tbl>
    <w:p>
      <w:pPr>
        <w:pStyle w:val="Cuerpodetexto"/>
        <w:spacing w:lineRule="auto" w:line="240" w:before="0" w:after="140"/>
        <w:jc w:val="both"/>
        <w:rPr>
          <w:rFonts w:ascii="Arial" w:hAnsi="Arial" w:cs="Arial"/>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0"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fileadmin/Documentos/Participacion_Ciudadana/Cooperacion/ComercioJusto/solicitud_establecimientos_01.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Application>LibreOffice/7.2.4.1$Windows_X86_64 LibreOffice_project/27d75539669ac387bb498e35313b970b7fe9c4f9</Application>
  <AppVersion>15.0000</AppVersion>
  <Pages>1</Pages>
  <Words>324</Words>
  <Characters>1679</Characters>
  <CharactersWithSpaces>2002</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2021-11-24T10:37:00Z</dcterms:created>
  <dc:creator>ADELIFL</dc:creator>
  <dc:description/>
  <dc:language>es-ES</dc:language>
  <cp:lastModifiedBy/>
  <cp:lastPrinted>2022-03-10T13:18:28Z</cp:lastPrinted>
  <dcterms:modified xsi:type="dcterms:W3CDTF">2022-05-05T13:48:42Z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