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bCs/>
        </w:rPr>
      </w:pPr>
      <w:r>
        <w:rPr>
          <w:rFonts w:cs="Arial" w:ascii="Arial" w:hAnsi="Arial"/>
          <w:b/>
          <w:bCs/>
        </w:rPr>
      </w:r>
    </w:p>
    <w:p>
      <w:pPr>
        <w:pStyle w:val="Normal"/>
        <w:rPr>
          <w:sz w:val="28"/>
          <w:szCs w:val="28"/>
          <w:u w:val="single"/>
        </w:rPr>
      </w:pPr>
      <w:r>
        <w:rPr>
          <w:rFonts w:cs="Arial" w:ascii="Arial" w:hAnsi="Arial"/>
          <w:b/>
          <w:bCs/>
          <w:sz w:val="28"/>
          <w:szCs w:val="28"/>
          <w:u w:val="singl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La alcaldesa participa en el XI Encuentro  Comunitario ‘Apostando por la convivencia’</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10 de noviembre de 2022</w:t>
      </w:r>
      <w:r>
        <w:rPr>
          <w:rFonts w:eastAsia="Tahoma" w:cs="Arial" w:ascii="Arial" w:hAnsi="Arial"/>
          <w:b w:val="false"/>
          <w:bCs w:val="false"/>
          <w:color w:val="auto"/>
          <w:kern w:val="2"/>
          <w:sz w:val="26"/>
          <w:szCs w:val="26"/>
          <w:lang w:val="es-ES" w:eastAsia="zh-CN" w:bidi="ar-SA"/>
        </w:rPr>
        <w:t xml:space="preserve">. El Centro Comunitario Intercultural Marco Marchioni acogía en la tarde de ayer el XI Encuentro Comunitario ‘Apostando por la convivencia’. La alcaldesa, Mamen Sánchez, participaba en las actividades previstas acompañada por la delegada de Acción Social y Mayores, Carmen Collado, y  miembros del Gobierno municipal, reiterando su compromiso con el Proceso Comunitairo de la Zona Sur.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Por parte del equipo comunitario, se realizó una exposición sobre acciones y retos del Proceso Comunitario de la Zona Sur. Por parte de CEAin, se hizo una presentación del vídeo Libup del programa ‘La zona sur en positivo’, con el título ‘Juntas hacemos barrio’. Dos montajes audiovisuales con la participación de representantes institucionales, entidades, ciudadanía, han promovido un interesante trabajo colaborativo para poner en valor la riqueza humana y social de la zona sur.</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actuación de la Orquesta Pequeño Orfeo y la celebración de una nueva sesión de los Juegos de siempre en nuestro barrio, completaron una tarde dedicada al encuentro y a la puesta en común, tras la celebración por la mañana del Encuentro de Relación Institucional. </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adjuntan fotografías</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LibreOffice/7.3.6.2$Windows_X86_64 LibreOffice_project/c28ca90fd6e1a19e189fc16c05f8f8924961e12e</Application>
  <AppVersion>15.0000</AppVersion>
  <Pages>1</Pages>
  <Words>196</Words>
  <Characters>1081</Characters>
  <CharactersWithSpaces>1275</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2022-11-10T13:48:23Z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