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36"/>
          <w:szCs w:val="36"/>
          <w:lang w:val="es-ES" w:eastAsia="zh-CN" w:bidi="ar-SA"/>
        </w:rPr>
        <w:t>La Red de Bibliotecas Municipales recibirá unos 8.000 euros de los fondos Next Generation para la adquisición de libros</w:t>
      </w:r>
    </w:p>
    <w:p>
      <w:pPr>
        <w:pStyle w:val="Normal"/>
        <w:rPr>
          <w:rFonts w:ascii="Arial" w:hAnsi="Arial" w:eastAsia="Times New Roman" w:cs="Arial"/>
          <w:color w:val="auto"/>
          <w:kern w:val="2"/>
          <w:sz w:val="12"/>
          <w:szCs w:val="12"/>
          <w:lang w:val="es-ES" w:eastAsia="zh-CN" w:bidi="ar-SA"/>
        </w:rPr>
      </w:pPr>
      <w:r>
        <w:rPr>
          <w:rFonts w:eastAsia="Times New Roman" w:cs="Arial" w:ascii="Arial" w:hAnsi="Arial"/>
          <w:color w:val="auto"/>
          <w:kern w:val="2"/>
          <w:sz w:val="12"/>
          <w:szCs w:val="12"/>
          <w:lang w:val="es-ES" w:eastAsia="zh-CN" w:bidi="ar-SA"/>
        </w:rPr>
      </w:r>
    </w:p>
    <w:p>
      <w:pPr>
        <w:pStyle w:val="Normal"/>
        <w:rPr>
          <w:rStyle w:val="Destaquemayor"/>
          <w:rFonts w:ascii="Arial" w:hAnsi="Arial" w:eastAsia="Tahoma" w:cs="Arial"/>
          <w:b w:val="false"/>
          <w:b w:val="false"/>
          <w:bCs w:val="false"/>
          <w:color w:val="auto"/>
          <w:kern w:val="2"/>
          <w:sz w:val="28"/>
          <w:szCs w:val="28"/>
          <w:lang w:val="es-ES" w:eastAsia="zh-CN" w:bidi="ar-SA"/>
        </w:rPr>
      </w:pPr>
      <w:r>
        <w:rPr/>
      </w:r>
    </w:p>
    <w:p>
      <w:pPr>
        <w:pStyle w:val="Normal"/>
        <w:rPr/>
      </w:pPr>
      <w:r>
        <w:rPr>
          <w:rStyle w:val="Destaquemayor"/>
          <w:rFonts w:eastAsia="Tahoma" w:cs="Arial" w:ascii="Arial" w:hAnsi="Arial"/>
          <w:b w:val="false"/>
          <w:bCs w:val="false"/>
          <w:color w:val="auto"/>
          <w:kern w:val="2"/>
          <w:sz w:val="28"/>
          <w:szCs w:val="28"/>
          <w:lang w:val="es-ES" w:eastAsia="zh-CN" w:bidi="ar-SA"/>
        </w:rPr>
        <w:t>La  Biblioteca Central, Ramón de Cala, Agustín Muñoz y San Telmo recibirán cada una de ellas 2.040 euros de subvención</w:t>
      </w:r>
    </w:p>
    <w:p>
      <w:pPr>
        <w:pStyle w:val="Normal"/>
        <w:rPr>
          <w:rStyle w:val="Destaquemayor"/>
          <w:rFonts w:ascii="Arial" w:hAnsi="Arial" w:eastAsia="Tahoma" w:cs="Arial"/>
          <w:b w:val="false"/>
          <w:b w:val="false"/>
          <w:bCs w:val="false"/>
          <w:color w:val="auto"/>
          <w:kern w:val="2"/>
          <w:sz w:val="28"/>
          <w:szCs w:val="28"/>
          <w:lang w:val="es-ES" w:eastAsia="zh-CN" w:bidi="ar-SA"/>
        </w:rPr>
      </w:pPr>
      <w:r>
        <w:rPr>
          <w:rFonts w:eastAsia="Tahoma" w:cs="Arial" w:ascii="Arial" w:hAnsi="Arial"/>
          <w:b w:val="false"/>
          <w:bCs w:val="false"/>
          <w:color w:val="auto"/>
          <w:kern w:val="2"/>
          <w:sz w:val="28"/>
          <w:szCs w:val="28"/>
          <w:lang w:val="es-ES" w:eastAsia="zh-CN" w:bidi="ar-SA"/>
        </w:rPr>
      </w:r>
    </w:p>
    <w:p>
      <w:pPr>
        <w:pStyle w:val="Normal"/>
        <w:spacing w:before="0" w:after="170"/>
        <w:jc w:val="both"/>
        <w:rPr>
          <w:sz w:val="24"/>
          <w:szCs w:val="24"/>
        </w:rPr>
      </w:pPr>
      <w:r>
        <w:rPr>
          <w:rFonts w:eastAsia="Tahoma" w:cs="Arial" w:ascii="Arial" w:hAnsi="Arial"/>
          <w:b/>
          <w:bCs/>
          <w:sz w:val="24"/>
          <w:szCs w:val="24"/>
        </w:rPr>
        <w:t>15</w:t>
      </w:r>
      <w:r>
        <w:rPr>
          <w:rFonts w:eastAsia="Tahoma" w:cs="Arial" w:ascii="Arial" w:hAnsi="Arial"/>
          <w:b/>
          <w:bCs/>
          <w:sz w:val="24"/>
          <w:szCs w:val="24"/>
        </w:rPr>
        <w:t xml:space="preserve"> de enero de 2023</w:t>
      </w:r>
      <w:r>
        <w:rPr>
          <w:rFonts w:eastAsia="Tahoma" w:cs="Arial" w:ascii="Arial" w:hAnsi="Arial"/>
          <w:sz w:val="24"/>
          <w:szCs w:val="24"/>
        </w:rPr>
        <w:t>. La Biblioteca Central y todas las que conforman la Red de Bibliotecas Públicas Municipales, concretamente, Ramón de Cala, Agustín Muñoz y San Telmo, recibirán cada una de ellas 2.040 euros de subvención de los fondos Next Generation para la adquisición de lotes bibliográficos.</w:t>
      </w:r>
    </w:p>
    <w:p>
      <w:pPr>
        <w:pStyle w:val="Normal"/>
        <w:spacing w:before="0" w:after="170"/>
        <w:jc w:val="both"/>
        <w:rPr>
          <w:sz w:val="24"/>
          <w:szCs w:val="24"/>
        </w:rPr>
      </w:pPr>
      <w:r>
        <w:rPr>
          <w:rFonts w:eastAsia="Tahoma" w:cs="Arial" w:ascii="Arial" w:hAnsi="Arial"/>
          <w:sz w:val="24"/>
          <w:szCs w:val="24"/>
        </w:rPr>
        <w:t>Con el importe de esta ayuda, que asciende a 8.160 euros en global,  cada biblioteca deberá adquirir, al menos, un total de 92 títulos, seleccionados entre las materias o temáticas que se establecen en las bases de la convocatoria, como diccionarios, o grandes obras, libros infantiles y juveniles, obras literarias, científicas, libros sobre Andalucía, materiales inclusivos, obras en lenguas extranjeras y cualquier otra materia o temática que se considere de interés para la población potencialmente usuaria.</w:t>
      </w:r>
    </w:p>
    <w:p>
      <w:pPr>
        <w:pStyle w:val="Normal"/>
        <w:spacing w:before="0" w:after="170"/>
        <w:jc w:val="both"/>
        <w:rPr>
          <w:sz w:val="24"/>
          <w:szCs w:val="24"/>
        </w:rPr>
      </w:pPr>
      <w:r>
        <w:rPr>
          <w:rFonts w:eastAsia="Tahoma" w:cs="Arial" w:ascii="Arial" w:hAnsi="Arial"/>
          <w:sz w:val="24"/>
          <w:szCs w:val="24"/>
        </w:rPr>
        <w:t>El delegado de Cultura</w:t>
      </w:r>
      <w:r>
        <w:rPr>
          <w:rFonts w:eastAsia="Tahoma" w:cs="Arial" w:ascii="Arial" w:hAnsi="Arial"/>
          <w:sz w:val="24"/>
          <w:szCs w:val="24"/>
        </w:rPr>
        <w:t>, Francisco Camas,</w:t>
      </w:r>
      <w:r>
        <w:rPr>
          <w:rFonts w:eastAsia="Tahoma" w:cs="Arial" w:ascii="Arial" w:hAnsi="Arial"/>
          <w:sz w:val="24"/>
          <w:szCs w:val="24"/>
        </w:rPr>
        <w:t xml:space="preserve"> ha destacado la importancia de estas subvenciones financiadas por la Unión Europea destinadas a completar y renovar los fondos bibliográficos de las bibliotecas de la ciudad y mejorar, de este modo, el servicio a la ciudadanía. "Próximos a cumplir en el mes de abril el 150 aniversario de la creación de la Biblioteca Municipal Central, es una buena noticia comenzar el año actualizando los fondos de los centros que componen la red de lectura pública de nuestra ciudad”.</w:t>
      </w:r>
    </w:p>
    <w:p>
      <w:pPr>
        <w:pStyle w:val="Normal"/>
        <w:spacing w:before="0" w:after="170"/>
        <w:jc w:val="both"/>
        <w:rPr>
          <w:sz w:val="24"/>
          <w:szCs w:val="24"/>
        </w:rPr>
      </w:pPr>
      <w:r>
        <w:rPr>
          <w:sz w:val="24"/>
          <w:szCs w:val="24"/>
        </w:rPr>
      </w:r>
    </w:p>
    <w:p>
      <w:pPr>
        <w:pStyle w:val="Normal"/>
        <w:spacing w:before="0" w:after="170"/>
        <w:jc w:val="both"/>
        <w:rPr>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8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Annotationreference">
    <w:name w:val="annotation reference"/>
    <w:qFormat/>
    <w:rPr>
      <w:sz w:val="16"/>
      <w:szCs w:val="16"/>
    </w:rPr>
  </w:style>
  <w:style w:type="character" w:styleId="MquinadeescribirHTML">
    <w:name w:val="Máquina de escribir HTML"/>
    <w:qFormat/>
    <w:rPr>
      <w:rFonts w:ascii="Arial Unicode MS" w:hAnsi="Arial Unicode MS" w:eastAsia="Arial Unicode MS" w:cs="Arial Unicode MS"/>
      <w:sz w:val="20"/>
      <w:szCs w:val="20"/>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Arial" w:cs="Courier New"/>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Arial" w:cs="Courier New"/>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nnotationsubject">
    <w:name w:val="annotation subject"/>
    <w:qFormat/>
    <w:pPr>
      <w:widowControl/>
      <w:suppressAutoHyphens w:val="true"/>
      <w:bidi w:val="0"/>
      <w:spacing w:lineRule="auto" w:line="240"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rrafodelista">
    <w:name w:val="Párrafo de lista"/>
    <w:basedOn w:val="Normal"/>
    <w:qFormat/>
    <w:pPr>
      <w:spacing w:before="0" w:after="0"/>
      <w:ind w:left="720" w:hanging="0"/>
      <w:contextualSpacing/>
    </w:pPr>
    <w:rPr>
      <w:rFonts w:ascii="Times New Roman" w:hAnsi="Times New Roman" w:eastAsia="Calibri" w:cs="Times New Roman"/>
    </w:rPr>
  </w:style>
  <w:style w:type="paragraph" w:styleId="Descripcin">
    <w:name w:val="Descripción"/>
    <w:basedOn w:val="Normal"/>
    <w:qFormat/>
    <w:pPr>
      <w:spacing w:before="120" w:after="120"/>
    </w:pPr>
    <w:rPr>
      <w:rFonts w:cs="Arial"/>
      <w:i/>
      <w:iCs/>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Application>LibreOffice/7.3.6.2$Windows_X86_64 LibreOffice_project/c28ca90fd6e1a19e189fc16c05f8f8924961e12e</Application>
  <AppVersion>15.0000</AppVersion>
  <Pages>1</Pages>
  <Words>247</Words>
  <Characters>1314</Characters>
  <CharactersWithSpaces>1558</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2023-01-03T09:07:37Z</cp:lastPrinted>
  <dcterms:modified xsi:type="dcterms:W3CDTF">2023-01-12T11:30:07Z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