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808080"/>
          <w:kern w:val="2"/>
          <w:sz w:val="24"/>
          <w:szCs w:val="24"/>
          <w:u w:val="none"/>
          <w:lang w:val="es-ES" w:eastAsia="zh-CN" w:bidi="ar-SA"/>
        </w:rPr>
        <w:t>FOTONOTICIA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R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eunión de seguimiento de las obras de La Asunción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>2</w:t>
      </w:r>
      <w:r>
        <w:rPr>
          <w:rFonts w:eastAsia="Tahoma" w:cs="Arial" w:ascii="Arial" w:hAnsi="Arial"/>
          <w:b/>
          <w:bCs/>
          <w:sz w:val="24"/>
          <w:szCs w:val="24"/>
        </w:rPr>
        <w:t>9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enero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2023</w:t>
      </w:r>
      <w:r>
        <w:rPr>
          <w:rFonts w:eastAsia="Tahoma" w:cs="Arial" w:ascii="Arial" w:hAnsi="Arial"/>
          <w:sz w:val="24"/>
          <w:szCs w:val="24"/>
        </w:rPr>
        <w:t xml:space="preserve">. El Ayuntamiento de Jerez </w:t>
      </w:r>
      <w:r>
        <w:rPr>
          <w:rFonts w:eastAsia="Tahoma" w:cs="Arial" w:ascii="Arial" w:hAnsi="Arial"/>
          <w:sz w:val="24"/>
          <w:szCs w:val="24"/>
        </w:rPr>
        <w:t xml:space="preserve">junto a representantes de la </w:t>
      </w:r>
      <w:r>
        <w:rPr>
          <w:rFonts w:eastAsia="Tahoma" w:cs="Arial" w:ascii="Arial" w:hAnsi="Arial"/>
          <w:sz w:val="24"/>
          <w:szCs w:val="24"/>
        </w:rPr>
        <w:t>Junta de Andalucía han celebrado una reunión con la dirección facultativa de las obras del Área de Rehabilitación Integral "La Asunción" para hacer el seguimiento de estas intervenciones y repasar los plazos administrativos que deben cumplirse para la ejecución de los diferentes proyectos de rehabilitación según las necesidades de cada bloque.</w:t>
      </w:r>
    </w:p>
    <w:p>
      <w:pPr>
        <w:pStyle w:val="Normal"/>
        <w:spacing w:before="0" w:after="170"/>
        <w:jc w:val="both"/>
        <w:rPr/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La delegada de Vivienda y vicepresidenta de Emuvijesa, Ana Hérica Ramos, ha destacado la relevancia que tiene el trabajo coordinado y el ejercicio de corresponsabilidad necesario para solventar el procedimiento administrativo que requiere de un arduo esfuerzo de cada parte desde su rol y función pertinentes.</w:t>
      </w:r>
    </w:p>
    <w:p>
      <w:pPr>
        <w:pStyle w:val="Normal"/>
        <w:spacing w:before="0" w:after="170"/>
        <w:jc w:val="both"/>
        <w:rPr/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El Ayuntamiento actúa como entidad colaboradora, para la gestión de solicitudes y en la entrega y distribución de subvenciones a las comunidades de propietarios beneficiarias de las ayudas para la rehabilitación residencial en el Área de Rehabilitación Integral delimitada.</w:t>
      </w:r>
    </w:p>
    <w:p>
      <w:pPr>
        <w:pStyle w:val="Normal"/>
        <w:spacing w:before="0" w:after="170"/>
        <w:jc w:val="both"/>
        <w:rPr/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  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Estas obras, con una dotación de 5,96 millones de euros, se están llevando a cabo en la barriada para la conservación y rehabilitación de elementos comunes y mejora de su envolvente térmica.  </w:t>
      </w:r>
    </w:p>
    <w:p>
      <w:pPr>
        <w:pStyle w:val="Normal"/>
        <w:spacing w:before="0" w:after="170"/>
        <w:jc w:val="both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/>
            <w:shd w:fill="F8EFD9" w:val="clear"/>
          </w:tcPr>
          <w:p>
            <w:pPr>
              <w:pStyle w:val="Contenidodelatabla"/>
              <w:widowControl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 adjunta fotografía</w:t>
            </w:r>
          </w:p>
        </w:tc>
      </w:tr>
    </w:tbl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   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Application>LibreOffice/7.3.6.2$Windows_X86_64 LibreOffice_project/c28ca90fd6e1a19e189fc16c05f8f8924961e12e</Application>
  <AppVersion>15.0000</AppVersion>
  <Pages>1</Pages>
  <Words>195</Words>
  <Characters>1086</Characters>
  <CharactersWithSpaces>1284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2023-01-26T12:43:19Z</dcterms:modified>
  <cp:revision>214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