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 w:val="false"/>
          <w:b w:val="false"/>
          <w:bCs w:val="false"/>
          <w:color w:val="999999"/>
        </w:rPr>
      </w:pPr>
      <w:r>
        <w:rPr>
          <w:rFonts w:cs="Arial" w:ascii="Arial" w:hAnsi="Arial"/>
          <w:b w:val="false"/>
          <w:bCs w:val="false"/>
          <w:color w:val="999999"/>
          <w:sz w:val="28"/>
          <w:szCs w:val="28"/>
        </w:rPr>
        <w:t>FOTONOTICIA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Carmen Collado asiste al Pregón de la Semana Santa de Cuartillos 2023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27 de febrero de 2023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La delegada de Acción Social y Mayores, Carmen Collado, asistía ayer domingo al Pregón de la Semana Santa de Cuartillos 2023, en la Iglesia Nuestra Señora de la Paz de Cuartillos, a cargo de Diego Sánchez Menacho.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La delegada compartía este primer domingo de Cuaresma con la junta de gobierno de Nuestro Padre Jesús de la Paz, Nuestra Señora del Rocío y San Bruno, así como con el alcalde pedáneo, José Barriga, y vecinos y vecinas de la pedanía, que completaron el aforo de la iglesia y disfrutaron de una mañana muy emotiva gracias al buen hacer del pregonero.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 </w:t>
      </w:r>
      <w:r>
        <w:rPr>
          <w:rFonts w:cs="Arial" w:ascii="Arial" w:hAnsi="Arial"/>
          <w:sz w:val="26"/>
          <w:szCs w:val="26"/>
        </w:rPr>
        <w:t>Tras el acto, la delegada felicitaba a Diego Sánchez Menacho, por un pregón muy trabajado, que fue muy aplaudido por su sentimiento y fuerza.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fill="EEEEEE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</w:rPr>
              <w:t>Se adjunta fotografía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LibreOffice/7.3.7.2$Windows_X86_64 LibreOffice_project/e114eadc50a9ff8d8c8a0567d6da8f454beeb84f</Application>
  <AppVersion>15.0000</AppVersion>
  <Pages>1</Pages>
  <Words>144</Words>
  <Characters>689</Characters>
  <CharactersWithSpaces>829</CharactersWithSpaces>
  <Paragraphs>5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2023-02-27T13:54:08Z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