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El </w:t>
      </w:r>
      <w:r>
        <w:rPr>
          <w:rFonts w:cs="Arial" w:ascii="Arial" w:hAnsi="Arial"/>
          <w:b/>
          <w:bCs/>
          <w:sz w:val="32"/>
          <w:szCs w:val="32"/>
        </w:rPr>
        <w:t>Gobierno local</w:t>
      </w:r>
      <w:r>
        <w:rPr>
          <w:rFonts w:cs="Arial" w:ascii="Arial" w:hAnsi="Arial"/>
          <w:b/>
          <w:bCs/>
          <w:sz w:val="32"/>
          <w:szCs w:val="32"/>
        </w:rPr>
        <w:t xml:space="preserve"> respalda</w:t>
      </w:r>
      <w:r>
        <w:rPr>
          <w:rFonts w:eastAsia="Times New Roman" w:cs="Arial" w:ascii="Arial" w:hAnsi="Arial"/>
          <w:b/>
          <w:bCs/>
          <w:color w:val="auto"/>
          <w:kern w:val="2"/>
          <w:sz w:val="32"/>
          <w:szCs w:val="32"/>
          <w:lang w:val="es-ES" w:eastAsia="zh-CN" w:bidi="ar-SA"/>
        </w:rPr>
        <w:t xml:space="preserve"> la </w:t>
      </w:r>
      <w:r>
        <w:rPr>
          <w:rFonts w:eastAsia="Times New Roman" w:cs="Arial" w:ascii="Arial" w:hAnsi="Arial"/>
          <w:b/>
          <w:bCs/>
          <w:color w:val="auto"/>
          <w:kern w:val="2"/>
          <w:sz w:val="32"/>
          <w:szCs w:val="32"/>
          <w:lang w:val="es-ES" w:eastAsia="zh-CN" w:bidi="ar-SA"/>
        </w:rPr>
        <w:t>c</w:t>
      </w:r>
      <w:r>
        <w:rPr>
          <w:rFonts w:eastAsia="Times New Roman" w:cs="Arial" w:ascii="Arial" w:hAnsi="Arial"/>
          <w:b/>
          <w:bCs/>
          <w:color w:val="auto"/>
          <w:kern w:val="2"/>
          <w:sz w:val="32"/>
          <w:szCs w:val="32"/>
          <w:lang w:val="es-ES" w:eastAsia="zh-CN" w:bidi="ar-SA"/>
        </w:rPr>
        <w:t>onvocatoria de premios a los mejores trabajos de investigación sobre Lola Flores de la UCA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2"/>
          <w:szCs w:val="32"/>
        </w:rPr>
      </w:pPr>
      <w:r>
        <w:rPr>
          <w:rFonts w:eastAsia="Times New Roman" w:cs="Arial" w:ascii="Arial" w:hAnsi="Arial"/>
          <w:b w:val="false"/>
          <w:bCs w:val="false"/>
          <w:color w:val="auto"/>
          <w:kern w:val="2"/>
          <w:sz w:val="32"/>
          <w:szCs w:val="32"/>
          <w:lang w:val="es-ES" w:eastAsia="zh-CN" w:bidi="ar-SA"/>
        </w:rPr>
        <w:t xml:space="preserve">Las bodegas 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32"/>
          <w:szCs w:val="32"/>
          <w:lang w:val="es-ES" w:eastAsia="zh-CN" w:bidi="ar-SA"/>
        </w:rPr>
        <w:t xml:space="preserve">Williams&amp;Humbert acogen la presentación de estos premios para los que ya está abierto el plazo de presentación </w:t>
      </w:r>
    </w:p>
    <w:p>
      <w:pPr>
        <w:pStyle w:val="Normal"/>
        <w:rPr>
          <w:rFonts w:ascii="Arial" w:hAnsi="Arial" w:eastAsia="Times New Roman" w:cs="Arial"/>
          <w:b/>
          <w:b/>
          <w:bCs/>
          <w:color w:val="auto"/>
          <w:kern w:val="2"/>
          <w:sz w:val="36"/>
          <w:szCs w:val="36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auto"/>
          <w:kern w:val="2"/>
          <w:sz w:val="36"/>
          <w:szCs w:val="36"/>
          <w:lang w:val="es-ES" w:eastAsia="zh-CN" w:bidi="ar-S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/>
          <w:bCs/>
          <w:color w:val="auto"/>
          <w:kern w:val="2"/>
          <w:sz w:val="26"/>
          <w:szCs w:val="26"/>
          <w:lang w:val="es-ES" w:eastAsia="zh-CN" w:bidi="ar-SA"/>
        </w:rPr>
        <w:t>13 de marzo de 2023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. La primera teniente de alcaldesa, Laura Álvarez, y la diputada de Igualdad, Carmen Collado, han participado hoy en la presentación de la Convocatoria de premios a los mejores trabajos de investigación sobre Lola Flores, que ha puesto en marcha la Universidad de Cádiz (UCA), con el pratrocinio de Williams&amp;Humbert y la colaboración del Ayuntamiento y la Diputación Provincial.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La primera teniente de alcaldesa ha dado las gracias a los impulsores de esta iniciativa en este acto, en el que Jacinto Porro, vicerrector de  Cultura de la UCA,  ha dado a conocer las bases de la convocatoria, tras las palabras de bienvenida de la responsable de  comunicación de Williams&amp;Humbert, Cristina  Medina. Ha asistido a este acto también el decano de la Facultad de Ciencias Sociales y de la Comunicación, José Antonio López.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Concretamente, en su intervención, Laura Álvarez ha destacado la importancia de que la UCA se sume a la celebración del centenario de Lola Flores, incidiendo en que “en una ciudad educadora, que quiere  devolverle a Lola Flores todo lo que ella ha dado a Jerez, la implicación de la UCA es de una importancia vital”. Ha explicado que “para poner de manifiesto y reconocer todo el prestig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i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o de esta artista necesitamos, no sólo el Centro de Interpretación que veremos muy pronto, sino  también ese aporte de investigación y de excelencia de la Universidad de Cádiz”.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Para la diputada Carmen Collado, la presentación de estos premios ponen de manifiesto “lo que se puede lograr cuando las administraciones se unen y en este caso también la iniciativa privada”. Ha recordado que “estamos en un año muy importante para Jerez, en el que todos los eventos van a girar en torno a Lola Flores y es importante que se investigue su figura porque siempre habrá algo importante que descubrir de esta gran mujer”.  Por todo esto, ha destacado la diputada “es un honor y una satisfacción para la Diputación participar en esta programación cultural sobre Lola Flores y espero que se presenten muchos trabajos de investigación”.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El vicerrector de Cultura de la UCA ha hecho referencia al extenso calendario organizado por la universidad en el marco del centenario de Lola Flores, que incluye 15 propuestas divulgativas, académicas y científicas, dirigidas a la comunidad universitaria y a la ciudadanía en general.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Tras dar las gracias a la firma patrocinadora, y a las entidades colaboradoras, Jacinto Porro ha desglosado las bases de la convocatoria de premios a las mejores investigaciones inéditas presentadas al ‘Congreso del Centenario  de Lola Flores: un icono de la cu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ltura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 española’, evento éste último que se desarrollará entre los días 9, 10 y 11 del próximo mes de noviembre. Ha explicado que con la presentación de esta convocatoria “queremos anticiparnos para que la comunidad científica pueda presentar sus trabajos”.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El plazo para participar ha comenzado hoy y estará abierto hasta el 15 de septiembre, a través de la dirección de correo electrónico </w:t>
      </w:r>
      <w:hyperlink r:id="rId2">
        <w:r>
          <w:rPr>
            <w:rStyle w:val="EnlacedeInternet"/>
            <w:rFonts w:eastAsia="Tahoma" w:cs="Arial" w:ascii="Arial" w:hAnsi="Arial"/>
            <w:b w:val="false"/>
            <w:bCs w:val="false"/>
            <w:color w:val="auto"/>
            <w:kern w:val="2"/>
            <w:sz w:val="26"/>
            <w:szCs w:val="26"/>
            <w:lang w:val="es-ES" w:eastAsia="zh-CN" w:bidi="ar-SA"/>
          </w:rPr>
          <w:t>congreslolaflores@uca.es</w:t>
        </w:r>
      </w:hyperlink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. Se concederán tres premios a los mejores trabajos de 1.500, 1.000 y 500 euros, que se entregarán en la última jornada del congreso, además de figurar entre las comunicaciones del congreso. Deberán ser investigaciones inéditas sobre vida y obra de Lola Flores.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/>
            <w:shd w:fill="DEE7E5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cs="Arial" w:ascii="Arial" w:hAnsi="Arial"/>
                <w:i w:val="false"/>
                <w:iCs w:val="false"/>
                <w:sz w:val="22"/>
                <w:szCs w:val="22"/>
              </w:rPr>
              <w:t>Se adjunta fotografía y enlace de audio</w:t>
            </w:r>
            <w:r>
              <w:rPr>
                <w:rFonts w:cs="Arial" w:ascii="Arial" w:hAnsi="Arial"/>
                <w:i w:val="false"/>
                <w:iCs w:val="false"/>
                <w:sz w:val="22"/>
                <w:szCs w:val="22"/>
              </w:rPr>
              <w:t>:</w:t>
            </w:r>
          </w:p>
          <w:p>
            <w:pPr>
              <w:pStyle w:val="Ttulo4"/>
              <w:widowControl w:val="false"/>
              <w:numPr>
                <w:ilvl w:val="3"/>
                <w:numId w:val="1"/>
              </w:numPr>
              <w:spacing w:before="240" w:after="60"/>
              <w:rPr/>
            </w:pPr>
            <w:hyperlink r:id="rId3">
              <w:r>
                <w:rPr>
                  <w:rStyle w:val="EnlacedeInternet"/>
                  <w:rFonts w:cs="Arial" w:ascii="Arial" w:hAnsi="Arial"/>
                  <w:i w:val="false"/>
                  <w:iCs w:val="false"/>
                  <w:sz w:val="22"/>
                  <w:szCs w:val="22"/>
                </w:rPr>
                <w:t>https://ssweb.seap.minhap.es/almacen/descarga/envio/cba89183609c761ec5641ab79ae79eaf8a986</w:t>
              </w:r>
            </w:hyperlink>
          </w:p>
        </w:tc>
      </w:tr>
      <w:tr>
        <w:trPr/>
        <w:tc>
          <w:tcPr>
            <w:tcW w:w="7649" w:type="dxa"/>
            <w:tcBorders/>
            <w:shd w:fill="DEE7E5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ahoma" w:cs="Arial" w:ascii="Arial" w:hAnsi="Arial"/>
                <w:b w:val="false"/>
                <w:bCs w:val="false"/>
                <w:color w:val="auto"/>
                <w:kern w:val="2"/>
                <w:sz w:val="22"/>
                <w:szCs w:val="22"/>
                <w:lang w:val="es-ES" w:eastAsia="zh-CN" w:bidi="ar-SA"/>
              </w:rPr>
              <w:t>Más información:</w:t>
            </w:r>
          </w:p>
          <w:p>
            <w:pPr>
              <w:pStyle w:val="Normal"/>
              <w:widowControl w:val="false"/>
              <w:jc w:val="both"/>
              <w:rPr>
                <w:i w:val="false"/>
                <w:i w:val="false"/>
                <w:iCs w:val="false"/>
                <w:sz w:val="22"/>
                <w:szCs w:val="22"/>
              </w:rPr>
            </w:pPr>
            <w:hyperlink r:id="rId4">
              <w:r>
                <w:rPr>
                  <w:rStyle w:val="EnlacedeInternet"/>
                  <w:rFonts w:eastAsia="Tahoma" w:cs="Arial" w:ascii="Arial" w:hAnsi="Arial"/>
                  <w:b w:val="false"/>
                  <w:bCs w:val="false"/>
                  <w:i w:val="false"/>
                  <w:iCs w:val="false"/>
                  <w:color w:val="auto"/>
                  <w:kern w:val="2"/>
                  <w:sz w:val="22"/>
                  <w:szCs w:val="22"/>
                  <w:lang w:val="es-ES" w:eastAsia="zh-CN" w:bidi="ar-SA"/>
                </w:rPr>
                <w:t>https://lolaflores.uca.es/envio-de-comunicaciones/</w:t>
              </w:r>
            </w:hyperlink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greslolaflores@uca.es" TargetMode="External"/><Relationship Id="rId3" Type="http://schemas.openxmlformats.org/officeDocument/2006/relationships/hyperlink" Target="https://ssweb.seap.minhap.es/almacen/descarga/envio/cba89183609c761ec5641ab79ae79eaf8a986c9e" TargetMode="External"/><Relationship Id="rId4" Type="http://schemas.openxmlformats.org/officeDocument/2006/relationships/hyperlink" Target="https://lolaflores.uca.es/envio-de-comunicaciones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LibreOffice/7.3.7.2$Windows_X86_64 LibreOffice_project/e114eadc50a9ff8d8c8a0567d6da8f454beeb84f</Application>
  <AppVersion>15.0000</AppVersion>
  <Pages>2</Pages>
  <Words>580</Words>
  <Characters>3128</Characters>
  <CharactersWithSpaces>3706</CharactersWithSpaces>
  <Paragraphs>13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2023-03-13T14:28:50Z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