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NOTA DE SERVICIO</w:t>
      </w:r>
    </w:p>
    <w:p>
      <w:pPr>
        <w:pStyle w:val="Normal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</w:rPr>
        <w:t>El plano definitivo de la Feria del Caballo 2023 incluye seis nuevas adjudicaciones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30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de marzo de 2023.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El Ayuntamiento de Jerez ha aprobado el nuevo plano de la Feria del Caballo 2023 con los cambios que se han producido en segunda adjudicación donde se habían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registrado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varias bajas que han sido sustituidas con seis nuevas adjudicaciones y la ampliación de una de las casetas.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El objetivo del consistorio jerezano, a través del Servicio de Fiestas, ha cumplido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la doble finalidad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de agrupar todas las casetas de feria y evitar que se produ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zcan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vacíos entre ellas por renuncias de última hora.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De esta forma, a las renuncias que se han producido tras la primera adjudicación se han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otorgado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seis nuevas adjudicaciones, la ampliación de una adjudicación de dos a tres módulos y la eliminación de las casetas números 154 y 155, sin modificar la enumeración existente.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Esta última decisión se produce para evitar que un cambio de los números asignados pueda provocar efectos no deseados a los adjudicatarios que han realizado ya la contratación de servicios, sobre todo de seguros, con el número de caseta ya asignado.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De esta manera, el número total de casetas adjudicadas es de 173, a las que se suman las de servicios de Policía Local, Policía Nacional, Protección Civil y Bomberos.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El plano se podrá consultar en la web municipal </w:t>
      </w:r>
      <w:hyperlink r:id="rId2">
        <w:r>
          <w:rPr>
            <w:rStyle w:val="EnlacedeInternet"/>
            <w:rFonts w:cs="Arial" w:ascii="Arial" w:hAnsi="Arial"/>
            <w:b w:val="false"/>
            <w:bCs w:val="false"/>
            <w:i w:val="false"/>
            <w:caps w:val="false"/>
            <w:smallCaps w:val="false"/>
            <w:color w:val="auto"/>
            <w:spacing w:val="0"/>
            <w:sz w:val="24"/>
            <w:szCs w:val="24"/>
          </w:rPr>
          <w:t>jerez.es</w:t>
        </w:r>
      </w:hyperlink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.</w:t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 Unicode MS">
    <w:charset w:val="01"/>
    <w:family w:val="roman"/>
    <w:pitch w:val="default"/>
  </w:font>
  <w:font w:name="ICZUQV+GTWalsheimProBold">
    <w:charset w:val="01"/>
    <w:family w:val="roman"/>
    <w:pitch w:val="default"/>
  </w:font>
  <w:font w:name="Gill Sans MT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Helvetica">
    <w:altName w:val="Arial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onsolas">
    <w:charset w:val="01"/>
    <w:family w:val="roman"/>
    <w:pitch w:val="default"/>
  </w:font>
  <w:font w:name="Helvetica Neue">
    <w:charset w:val="01"/>
    <w:family w:val="roman"/>
    <w:pitch w:val="default"/>
  </w:font>
  <w:font w:name="Garamond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erez.es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Application>LibreOffice/7.3.6.2$Windows_X86_64 LibreOffice_project/c28ca90fd6e1a19e189fc16c05f8f8924961e12e</Application>
  <AppVersion>15.0000</AppVersion>
  <Pages>1</Pages>
  <Words>229</Words>
  <Characters>1133</Characters>
  <CharactersWithSpaces>1354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2023-03-30T14:02:38Z</dcterms:modified>
  <cp:revision>217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