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BABABA"/>
          <w:sz w:val="28"/>
          <w:szCs w:val="28"/>
        </w:rPr>
      </w:pPr>
      <w:r>
        <w:rPr>
          <w:rFonts w:cs="Arial" w:ascii="Arial" w:hAnsi="Arial"/>
          <w:b w:val="false"/>
          <w:bCs w:val="false"/>
          <w:color w:val="BABABA"/>
          <w:sz w:val="28"/>
          <w:szCs w:val="28"/>
        </w:rPr>
        <w:t>NOTA DE SERVICIO</w:t>
      </w:r>
    </w:p>
    <w:p>
      <w:pPr>
        <w:pStyle w:val="Normal"/>
        <w:rPr>
          <w:sz w:val="40"/>
          <w:szCs w:val="40"/>
        </w:rPr>
      </w:pPr>
      <w:r>
        <w:rPr>
          <w:sz w:val="40"/>
          <w:szCs w:val="40"/>
        </w:rPr>
      </w:r>
    </w:p>
    <w:p>
      <w:pPr>
        <w:pStyle w:val="Normal"/>
        <w:rPr>
          <w:rFonts w:ascii="Arial Narrow" w:hAnsi="Arial Narrow"/>
          <w:sz w:val="36"/>
          <w:szCs w:val="36"/>
        </w:rPr>
      </w:pPr>
      <w:r>
        <w:rPr>
          <w:rFonts w:cs="Arial" w:ascii="Arial Narrow" w:hAnsi="Arial Narrow"/>
          <w:b/>
          <w:sz w:val="36"/>
          <w:szCs w:val="36"/>
        </w:rPr>
        <w:t>Cortes de tráfico esta semana por el rodaje de la serie Operación Barrio Inglés</w:t>
      </w:r>
    </w:p>
    <w:p>
      <w:pPr>
        <w:pStyle w:val="Normal"/>
        <w:rPr>
          <w:rFonts w:ascii="Arial Narrow" w:hAnsi="Arial Narrow" w:cs="Arial"/>
          <w:sz w:val="26"/>
          <w:szCs w:val="26"/>
        </w:rPr>
      </w:pPr>
      <w:r>
        <w:rPr>
          <w:rFonts w:cs="Arial" w:ascii="Arial Narrow" w:hAnsi="Arial Narrow"/>
          <w:sz w:val="26"/>
          <w:szCs w:val="2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15 de mayo de 2023. </w:t>
      </w:r>
      <w:r>
        <w:rPr>
          <w:rFonts w:cs="Arial" w:ascii="Arial Narrow" w:hAnsi="Arial Narrow"/>
          <w:b w:val="false"/>
          <w:bCs w:val="false"/>
          <w:color w:val="000000"/>
          <w:sz w:val="26"/>
          <w:szCs w:val="26"/>
        </w:rPr>
        <w:t>El Ayuntamiento de Jerez</w:t>
      </w:r>
      <w:r>
        <w:rPr>
          <w:rFonts w:cs="Arial" w:ascii="Arial Narrow" w:hAnsi="Arial Narrow"/>
          <w:b w:val="false"/>
          <w:bCs w:val="false"/>
          <w:color w:val="000000"/>
          <w:sz w:val="26"/>
          <w:szCs w:val="26"/>
        </w:rPr>
        <w:t xml:space="preserve"> </w:t>
      </w:r>
      <w:r>
        <w:rPr>
          <w:rFonts w:cs="Arial" w:ascii="Arial Narrow" w:hAnsi="Arial Narrow"/>
          <w:b w:val="false"/>
          <w:bCs w:val="false"/>
          <w:color w:val="000000"/>
          <w:sz w:val="26"/>
          <w:szCs w:val="26"/>
        </w:rPr>
        <w:t>colabora</w:t>
      </w:r>
      <w:r>
        <w:rPr>
          <w:rFonts w:cs="Arial" w:ascii="Arial Narrow" w:hAnsi="Arial Narrow"/>
          <w:b w:val="false"/>
          <w:bCs w:val="false"/>
          <w:color w:val="000000"/>
          <w:sz w:val="26"/>
          <w:szCs w:val="26"/>
        </w:rPr>
        <w:t xml:space="preserve"> </w:t>
      </w:r>
      <w:r>
        <w:rPr>
          <w:rFonts w:cs="Arial" w:ascii="Arial Narrow" w:hAnsi="Arial Narrow"/>
          <w:b w:val="false"/>
          <w:bCs w:val="false"/>
          <w:color w:val="000000"/>
          <w:sz w:val="26"/>
          <w:szCs w:val="26"/>
        </w:rPr>
        <w:t>con el rodaje de la serie Operación Barrio Inglés con la puesta en marcha de un amplio dispositivo de reserva de espacio público y cortes de tráfico que se desarrolla hasta el próximo sábado día 20 de mayo en las distintas ubicaciones tanto del rodaje como del equipo técnico necesario para su desarrollo.</w:t>
      </w:r>
    </w:p>
    <w:p>
      <w:pPr>
        <w:pStyle w:val="Normal"/>
        <w:spacing w:before="0" w:after="142"/>
        <w:jc w:val="both"/>
        <w:rPr>
          <w:rFonts w:ascii="Arial Narrow" w:hAnsi="Arial Narrow"/>
          <w:sz w:val="26"/>
          <w:szCs w:val="26"/>
        </w:rPr>
      </w:pPr>
      <w:r>
        <w:rPr>
          <w:rFonts w:cs="Arial" w:ascii="Arial Narrow" w:hAnsi="Arial Narrow"/>
          <w:b w:val="false"/>
          <w:bCs w:val="false"/>
          <w:i w:val="false"/>
          <w:iCs w:val="false"/>
          <w:caps w:val="false"/>
          <w:smallCaps w:val="false"/>
          <w:color w:val="000000"/>
          <w:spacing w:val="0"/>
          <w:sz w:val="26"/>
          <w:szCs w:val="26"/>
          <w:u w:val="none"/>
        </w:rPr>
        <w:t xml:space="preserve">Hasta las 20 horas de este lunes 15 de mayo se ha reservado el espacio en la plaza del Mercado, plaza Becerra, calle Alegría, calle Cabezas, calle </w:t>
      </w:r>
      <w:r>
        <w:rPr>
          <w:rFonts w:cs="Arial" w:ascii="Arial Narrow" w:hAnsi="Arial Narrow"/>
          <w:b w:val="false"/>
          <w:bCs w:val="false"/>
          <w:i w:val="false"/>
          <w:iCs w:val="false"/>
          <w:caps w:val="false"/>
          <w:smallCaps w:val="false"/>
          <w:color w:val="000000"/>
          <w:spacing w:val="0"/>
          <w:sz w:val="26"/>
          <w:szCs w:val="26"/>
          <w:u w:val="none"/>
        </w:rPr>
        <w:t>L</w:t>
      </w:r>
      <w:r>
        <w:rPr>
          <w:rFonts w:cs="Arial" w:ascii="Arial Narrow" w:hAnsi="Arial Narrow"/>
          <w:b w:val="false"/>
          <w:bCs w:val="false"/>
          <w:i w:val="false"/>
          <w:iCs w:val="false"/>
          <w:caps w:val="false"/>
          <w:smallCaps w:val="false"/>
          <w:color w:val="000000"/>
          <w:spacing w:val="0"/>
          <w:sz w:val="26"/>
          <w:szCs w:val="26"/>
          <w:u w:val="none"/>
        </w:rPr>
        <w:t>iebre, calle Justicia y calle Alcaldesa. Además, se mantienen los cortes de calles intermitentes desde los accesos a la plaza en calle Cordobeses, calle Almendrillos, calle San Blas y calle Liebre. El corte se mantiene de manera total en calle Justicia, teniendo como ruta alternativa para acceso de residentes por calle San Juan y calle Palma hasta calle Justicia.</w:t>
      </w:r>
    </w:p>
    <w:p>
      <w:pPr>
        <w:pStyle w:val="Normal"/>
        <w:spacing w:before="0" w:after="142"/>
        <w:jc w:val="both"/>
        <w:rPr>
          <w:rFonts w:ascii="Arial Narrow" w:hAnsi="Arial Narrow"/>
          <w:sz w:val="26"/>
          <w:szCs w:val="26"/>
        </w:rPr>
      </w:pPr>
      <w:r>
        <w:rPr>
          <w:rFonts w:cs="Arial" w:ascii="Arial Narrow" w:hAnsi="Arial Narrow"/>
          <w:b w:val="false"/>
          <w:bCs w:val="false"/>
          <w:i w:val="false"/>
          <w:iCs w:val="false"/>
          <w:caps w:val="false"/>
          <w:smallCaps w:val="false"/>
          <w:color w:val="000000"/>
          <w:spacing w:val="0"/>
          <w:sz w:val="26"/>
          <w:szCs w:val="26"/>
          <w:u w:val="none"/>
        </w:rPr>
        <w:t xml:space="preserve">Hasta el 17 de mayo se reserva la vía pública en el lateral izquierdo de plaza Becerra para la colocación de cubas de recogida de escombros desde las 7 hasta las 19 horas. </w:t>
      </w:r>
    </w:p>
    <w:p>
      <w:pPr>
        <w:pStyle w:val="Normal"/>
        <w:spacing w:before="0" w:after="142"/>
        <w:jc w:val="both"/>
        <w:rPr>
          <w:rFonts w:ascii="Arial Narrow" w:hAnsi="Arial Narrow"/>
          <w:sz w:val="26"/>
          <w:szCs w:val="26"/>
        </w:rPr>
      </w:pPr>
      <w:r>
        <w:rPr>
          <w:rFonts w:cs="Arial" w:ascii="Arial Narrow" w:hAnsi="Arial Narrow"/>
          <w:b w:val="false"/>
          <w:bCs w:val="false"/>
          <w:i w:val="false"/>
          <w:iCs w:val="false"/>
          <w:caps w:val="false"/>
          <w:smallCaps w:val="false"/>
          <w:color w:val="000000"/>
          <w:spacing w:val="0"/>
          <w:sz w:val="26"/>
          <w:szCs w:val="26"/>
          <w:u w:val="none"/>
        </w:rPr>
        <w:t>También se realiza una reserva</w:t>
      </w:r>
      <w:r>
        <w:rPr>
          <w:rFonts w:ascii="Arial Narrow" w:hAnsi="Arial Narrow"/>
          <w:sz w:val="26"/>
          <w:szCs w:val="26"/>
        </w:rPr>
        <w:t xml:space="preserve"> de aparcamiento desde el 17 de mayo a las 12 horas hasta el 18 de mayo, a las 5 horas en calle Real Escuela, en concreto, los aparcamientos colindantes a la fachada REAAE. Igualmente de procederá a la retirada </w:t>
      </w:r>
      <w:r>
        <w:rPr>
          <w:rFonts w:ascii="Arial Narrow" w:hAnsi="Arial Narrow"/>
          <w:sz w:val="26"/>
          <w:szCs w:val="26"/>
        </w:rPr>
        <w:t xml:space="preserve">de </w:t>
      </w:r>
      <w:r>
        <w:rPr>
          <w:rFonts w:ascii="Arial Narrow" w:hAnsi="Arial Narrow"/>
          <w:sz w:val="26"/>
          <w:szCs w:val="26"/>
        </w:rPr>
        <w:t>vehículos en la zona de la calle Real Escuela, a ambos lados de la vía, para la colocación de maquinaria de 36 metros.</w:t>
      </w:r>
      <w:r>
        <w:rPr>
          <w:rFonts w:ascii="Arial Narrow" w:hAnsi="Arial Narrow"/>
          <w:sz w:val="26"/>
          <w:szCs w:val="26"/>
        </w:rPr>
        <w:t xml:space="preserve"> </w:t>
      </w:r>
      <w:r>
        <w:rPr>
          <w:rFonts w:ascii="Arial Narrow" w:hAnsi="Arial Narrow"/>
          <w:sz w:val="26"/>
          <w:szCs w:val="26"/>
        </w:rPr>
        <w:t>En este periodo, se producirán cortes tráfico intermitentes en la calle Real Escuela para colocación de plataforma elevadora y trabajo de técnicos.</w:t>
      </w:r>
    </w:p>
    <w:p>
      <w:pPr>
        <w:pStyle w:val="Normal"/>
        <w:spacing w:before="0" w:after="142"/>
        <w:jc w:val="both"/>
        <w:rPr>
          <w:rFonts w:ascii="Arial Narrow" w:hAnsi="Arial Narrow"/>
          <w:sz w:val="26"/>
          <w:szCs w:val="26"/>
        </w:rPr>
      </w:pPr>
      <w:r>
        <w:rPr>
          <w:rFonts w:ascii="Arial Narrow" w:hAnsi="Arial Narrow"/>
          <w:sz w:val="26"/>
          <w:szCs w:val="26"/>
        </w:rPr>
        <w:t>El mismo día 17 de mayo, en horario de 9 a 23 horas</w:t>
      </w:r>
      <w:r>
        <w:rPr>
          <w:rFonts w:ascii="Arial Narrow" w:hAnsi="Arial Narrow"/>
          <w:sz w:val="26"/>
          <w:szCs w:val="26"/>
        </w:rPr>
        <w:t>,</w:t>
      </w:r>
      <w:r>
        <w:rPr>
          <w:rFonts w:ascii="Arial Narrow" w:hAnsi="Arial Narrow"/>
          <w:sz w:val="26"/>
          <w:szCs w:val="26"/>
        </w:rPr>
        <w:t xml:space="preserve"> se reserva el espacio de aparcamiento de coches y motos que se distribuyen a lo largo de toda la fachada del edificio de telefónica en la alameda del Banco. Además, quedarán libres las plazas de aparcamiento para vehículos técnicos de la calle Judería. Igualmente, se reserva la zona de carga y descarga de la rotonda de los Casinos para aparcamiento de vehículos de rodaje.</w:t>
      </w:r>
    </w:p>
    <w:p>
      <w:pPr>
        <w:pStyle w:val="Normal"/>
        <w:spacing w:before="0" w:after="142"/>
        <w:jc w:val="both"/>
        <w:rPr>
          <w:rFonts w:ascii="Arial Narrow" w:hAnsi="Arial Narrow"/>
          <w:sz w:val="26"/>
          <w:szCs w:val="26"/>
        </w:rPr>
      </w:pPr>
      <w:r>
        <w:rPr>
          <w:rFonts w:ascii="Arial Narrow" w:hAnsi="Arial Narrow"/>
          <w:sz w:val="26"/>
          <w:szCs w:val="26"/>
        </w:rPr>
        <w:t>En esa misma jornada de miércoles se producirán cortes tráfico intermitentes desde los accesos a calle Gibraleón, calle San Marcos, calle Eguilaz y calle San Cristóbal.</w:t>
      </w:r>
      <w:r>
        <w:rPr>
          <w:rFonts w:ascii="Arial Narrow" w:hAnsi="Arial Narrow"/>
          <w:sz w:val="26"/>
          <w:szCs w:val="26"/>
        </w:rPr>
        <w:t xml:space="preserve"> </w:t>
      </w:r>
      <w:r>
        <w:rPr>
          <w:rFonts w:ascii="Arial Narrow" w:hAnsi="Arial Narrow"/>
          <w:sz w:val="26"/>
          <w:szCs w:val="26"/>
        </w:rPr>
        <w:t>Además, debido a su complejidad, el acceso de vehículos grandes se hará a través de calle Larga desde fuente Rotonda de los Casinos</w:t>
      </w:r>
    </w:p>
    <w:p>
      <w:pPr>
        <w:pStyle w:val="Normal"/>
        <w:spacing w:before="0" w:after="142"/>
        <w:jc w:val="both"/>
        <w:rPr>
          <w:rFonts w:ascii="Arial Narrow" w:hAnsi="Arial Narrow"/>
          <w:sz w:val="26"/>
          <w:szCs w:val="26"/>
        </w:rPr>
      </w:pPr>
      <w:r>
        <w:rPr>
          <w:rFonts w:ascii="Arial Narrow" w:hAnsi="Arial Narrow"/>
          <w:sz w:val="26"/>
          <w:szCs w:val="26"/>
        </w:rPr>
        <w:t>El jueves día 18 de mayo desde las 9 horas hasta el viernes 19 de mayo a las 9 horas se reservan los aparcamientos de la calle Empedrada desde calle Plata en dirección a Ramón de Cala; de la calle Cerrofuerte; en la calle Ramón de Cala, desde el número 5 a la esquina calle Molineros; calle Plata y calle San Justo.</w:t>
      </w:r>
    </w:p>
    <w:p>
      <w:pPr>
        <w:pStyle w:val="Normal"/>
        <w:spacing w:before="0" w:after="142"/>
        <w:jc w:val="both"/>
        <w:rPr>
          <w:rFonts w:ascii="Arial Narrow" w:hAnsi="Arial Narrow"/>
          <w:sz w:val="26"/>
          <w:szCs w:val="26"/>
        </w:rPr>
      </w:pPr>
      <w:r>
        <w:rPr>
          <w:rFonts w:ascii="Arial Narrow" w:hAnsi="Arial Narrow"/>
          <w:sz w:val="26"/>
          <w:szCs w:val="26"/>
        </w:rPr>
        <w:t>También</w:t>
      </w:r>
      <w:r>
        <w:rPr>
          <w:rFonts w:ascii="Arial Narrow" w:hAnsi="Arial Narrow"/>
          <w:sz w:val="26"/>
          <w:szCs w:val="26"/>
        </w:rPr>
        <w:t xml:space="preserve"> se cortará el tráfico de manera intermitente desde los accesos al Palacio Villapanés. Los cortes serán totales en la calle Cerrofuerte desde las 18.30 del día 18 hasta las 8 horas del día 19 por colocación de plataforma elevadora.</w:t>
      </w:r>
    </w:p>
    <w:p>
      <w:pPr>
        <w:pStyle w:val="Normal"/>
        <w:spacing w:before="0" w:after="142"/>
        <w:jc w:val="both"/>
        <w:rPr>
          <w:rFonts w:ascii="Arial Narrow" w:hAnsi="Arial Narrow"/>
          <w:sz w:val="26"/>
          <w:szCs w:val="26"/>
        </w:rPr>
      </w:pPr>
      <w:r>
        <w:rPr>
          <w:rFonts w:ascii="Arial Narrow" w:hAnsi="Arial Narrow"/>
          <w:sz w:val="26"/>
          <w:szCs w:val="26"/>
        </w:rPr>
        <w:t>El acceso de camiones técnicos se realizará desde la calle Empedrada a calle Plata por calle San Justo hacia calle Cerrofuerte debido al corte de esta misma calle desde su zona de acceso.</w:t>
      </w:r>
    </w:p>
    <w:p>
      <w:pPr>
        <w:pStyle w:val="Normal"/>
        <w:spacing w:before="0" w:after="142"/>
        <w:jc w:val="both"/>
        <w:rPr>
          <w:rFonts w:ascii="Arial Narrow" w:hAnsi="Arial Narrow"/>
          <w:sz w:val="26"/>
          <w:szCs w:val="26"/>
        </w:rPr>
      </w:pPr>
      <w:r>
        <w:rPr>
          <w:rFonts w:ascii="Arial Narrow" w:hAnsi="Arial Narrow"/>
          <w:sz w:val="26"/>
          <w:szCs w:val="26"/>
        </w:rPr>
        <w:t>Por último, desde las 9 horas del viernes día 19 hasta las 9 horas del sábado día 20 se reserva la zona de aparcamiento de la calle Cordobeses, la calle Plaza Becerra, plaza del Mercado, calle Muro y plaza de la Merced.</w:t>
      </w:r>
    </w:p>
    <w:p>
      <w:pPr>
        <w:pStyle w:val="Normal"/>
        <w:spacing w:before="0" w:after="142"/>
        <w:jc w:val="both"/>
        <w:rPr>
          <w:rFonts w:ascii="Arial Narrow" w:hAnsi="Arial Narrow"/>
          <w:sz w:val="26"/>
          <w:szCs w:val="26"/>
        </w:rPr>
      </w:pPr>
      <w:r>
        <w:rPr>
          <w:rFonts w:ascii="Arial Narrow" w:hAnsi="Arial Narrow"/>
          <w:sz w:val="26"/>
          <w:szCs w:val="26"/>
        </w:rPr>
        <w:t>También se procederá e el mismo periodo al corte de tráfico intermitente desde acceso a la plaza en calle Cordobeses.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1775</TotalTime>
  <Application>LibreOffice/7.3.7.2$Windows_X86_64 LibreOffice_project/e114eadc50a9ff8d8c8a0567d6da8f454beeb84f</Application>
  <AppVersion>15.0000</AppVersion>
  <Pages>2</Pages>
  <Words>612</Words>
  <Characters>2852</Characters>
  <CharactersWithSpaces>3452</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2023-04-12T09:22:08Z</cp:lastPrinted>
  <dcterms:modified xsi:type="dcterms:W3CDTF">2023-05-15T14:11:08Z</dcterms:modified>
  <cp:revision>322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