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0A08" w:rsidRDefault="00020A08">
      <w:pPr>
        <w:rPr>
          <w:sz w:val="40"/>
          <w:szCs w:val="40"/>
        </w:rPr>
      </w:pPr>
    </w:p>
    <w:p w:rsidR="00020A08" w:rsidRDefault="00027573">
      <w:r>
        <w:rPr>
          <w:rFonts w:ascii="Arial Narrow" w:eastAsia="Tahoma" w:hAnsi="Arial Narrow" w:cs="Arial"/>
          <w:b/>
          <w:bCs/>
          <w:sz w:val="40"/>
          <w:szCs w:val="40"/>
        </w:rPr>
        <w:t xml:space="preserve">El Pleno aprueba definitivamente el documento de medidas del Gobierno local para proteger el </w:t>
      </w:r>
      <w:r>
        <w:rPr>
          <w:rFonts w:ascii="Arial Narrow" w:eastAsia="Tahoma" w:hAnsi="Arial Narrow" w:cs="Arial"/>
          <w:b/>
          <w:bCs/>
          <w:sz w:val="40"/>
          <w:szCs w:val="40"/>
        </w:rPr>
        <w:t xml:space="preserve">viñedo y </w:t>
      </w:r>
      <w:r>
        <w:rPr>
          <w:rFonts w:ascii="Arial Narrow" w:eastAsia="Tahoma" w:hAnsi="Arial Narrow" w:cs="Arial Narrow"/>
          <w:b/>
          <w:bCs/>
          <w:sz w:val="40"/>
          <w:szCs w:val="40"/>
        </w:rPr>
        <w:t xml:space="preserve">regular la implantación de plantas eólicas y fotovoltaicas </w:t>
      </w:r>
    </w:p>
    <w:p w:rsidR="00020A08" w:rsidRDefault="00020A08">
      <w:pPr>
        <w:rPr>
          <w:rFonts w:ascii="Arial Narrow" w:hAnsi="Arial Narrow"/>
          <w:sz w:val="36"/>
          <w:szCs w:val="36"/>
        </w:rPr>
      </w:pPr>
    </w:p>
    <w:p w:rsidR="00020A08" w:rsidRDefault="00027573">
      <w:pPr>
        <w:rPr>
          <w:rFonts w:ascii="Arial Narrow" w:hAnsi="Arial Narrow" w:cs="Arial Narrow"/>
          <w:sz w:val="36"/>
          <w:szCs w:val="36"/>
        </w:rPr>
      </w:pPr>
      <w:r>
        <w:rPr>
          <w:rFonts w:ascii="Arial Narrow" w:hAnsi="Arial Narrow" w:cs="Arial"/>
          <w:sz w:val="36"/>
          <w:szCs w:val="36"/>
        </w:rPr>
        <w:t xml:space="preserve">La principal medida consiste en una moratoria </w:t>
      </w:r>
      <w:r>
        <w:rPr>
          <w:rFonts w:ascii="Arial Narrow" w:hAnsi="Arial Narrow" w:cs="Arial Narrow"/>
          <w:sz w:val="36"/>
          <w:szCs w:val="36"/>
        </w:rPr>
        <w:t xml:space="preserve">de dos años respecto al </w:t>
      </w:r>
      <w:r>
        <w:rPr>
          <w:rFonts w:ascii="Arial Narrow" w:hAnsi="Arial Narrow" w:cs="Arial Narrow"/>
          <w:sz w:val="36"/>
          <w:szCs w:val="36"/>
        </w:rPr>
        <w:t>otorgamiento de nuevas autorizaciones para la implantación de estas instalaciones que afecta a un 4% del término municipal de Jerez</w:t>
      </w:r>
    </w:p>
    <w:p w:rsidR="00027573" w:rsidRDefault="00027573">
      <w:pPr>
        <w:rPr>
          <w:rFonts w:ascii="Arial Narrow" w:hAnsi="Arial Narrow" w:cs="Arial Narrow"/>
          <w:sz w:val="36"/>
          <w:szCs w:val="36"/>
        </w:rPr>
      </w:pPr>
    </w:p>
    <w:p w:rsidR="00027573" w:rsidRDefault="00027573">
      <w:pPr>
        <w:rPr>
          <w:rFonts w:ascii="Arial Narrow" w:hAnsi="Arial Narrow"/>
          <w:sz w:val="36"/>
          <w:szCs w:val="36"/>
        </w:rPr>
      </w:pPr>
      <w:r>
        <w:rPr>
          <w:rFonts w:ascii="Arial Narrow" w:hAnsi="Arial Narrow" w:cs="Arial Narrow"/>
          <w:sz w:val="36"/>
          <w:szCs w:val="36"/>
        </w:rPr>
        <w:t>El documento de protección del viñedo ha sido aprobado por PP, Vox y La Confluencia y el voto en contra del</w:t>
      </w:r>
      <w:bookmarkStart w:id="0" w:name="_GoBack"/>
      <w:bookmarkEnd w:id="0"/>
      <w:r>
        <w:rPr>
          <w:rFonts w:ascii="Arial Narrow" w:hAnsi="Arial Narrow" w:cs="Arial Narrow"/>
          <w:sz w:val="36"/>
          <w:szCs w:val="36"/>
        </w:rPr>
        <w:t xml:space="preserve"> PSOE</w:t>
      </w:r>
    </w:p>
    <w:p w:rsidR="00020A08" w:rsidRDefault="00020A08">
      <w:pPr>
        <w:rPr>
          <w:rFonts w:ascii="Arial Narrow" w:hAnsi="Arial Narrow" w:cs="Arial"/>
          <w:sz w:val="36"/>
          <w:szCs w:val="36"/>
        </w:rPr>
      </w:pPr>
    </w:p>
    <w:p w:rsidR="00020A08" w:rsidRDefault="00027573">
      <w:pPr>
        <w:jc w:val="both"/>
        <w:rPr>
          <w:szCs w:val="24"/>
        </w:rPr>
      </w:pPr>
      <w:r>
        <w:rPr>
          <w:rFonts w:ascii="Arial Narrow" w:eastAsia="Tahoma" w:hAnsi="Arial Narrow" w:cs="Arial"/>
          <w:b/>
          <w:bCs/>
          <w:szCs w:val="24"/>
        </w:rPr>
        <w:t>23 de febrero de 2023.</w:t>
      </w:r>
      <w:r>
        <w:rPr>
          <w:rFonts w:ascii="Arial Narrow" w:eastAsia="Tahoma" w:hAnsi="Arial Narrow" w:cs="Arial"/>
          <w:szCs w:val="24"/>
        </w:rPr>
        <w:t xml:space="preserve"> El Pleno municipal, presidido por la alcaldesa, María José García-Pelayo, ha aprobado definitivamen</w:t>
      </w:r>
      <w:r>
        <w:rPr>
          <w:rFonts w:ascii="Arial Narrow" w:eastAsia="Tahoma" w:hAnsi="Arial Narrow" w:cs="Arial"/>
          <w:szCs w:val="24"/>
        </w:rPr>
        <w:t>te, con el único voto en contra del Grupo Socialista, el documento de Directrices y estrategias</w:t>
      </w:r>
      <w:r>
        <w:rPr>
          <w:rFonts w:ascii="Arial Narrow" w:eastAsia="Tahoma" w:hAnsi="Arial Narrow" w:cs="Arial Narrow"/>
          <w:szCs w:val="24"/>
        </w:rPr>
        <w:t xml:space="preserve"> para la protección paisajística de los suelos calificados en el PGOU como Suelo No Urbanizable con la categoría de Especial Protección-Viñedos’, que incluye, co</w:t>
      </w:r>
      <w:r>
        <w:rPr>
          <w:rFonts w:ascii="Arial Narrow" w:eastAsia="Tahoma" w:hAnsi="Arial Narrow" w:cs="Arial Narrow"/>
          <w:szCs w:val="24"/>
        </w:rPr>
        <w:t>mo principal medida, una moratoria de dos años en el ámbito de estos terrenos respecto al otorgamiento de nuevas autorizaciones para la implantación de iniciativas que comporten la transformación de suelo para uso industrial energético (parques eólicos, fo</w:t>
      </w:r>
      <w:r>
        <w:rPr>
          <w:rFonts w:ascii="Arial Narrow" w:eastAsia="Tahoma" w:hAnsi="Arial Narrow" w:cs="Arial Narrow"/>
          <w:szCs w:val="24"/>
        </w:rPr>
        <w:t xml:space="preserve">tovoltaicos, hidrógeno verde o contenedores para almacenamiento de energía). </w:t>
      </w:r>
      <w:r>
        <w:rPr>
          <w:rFonts w:ascii="Arial Narrow" w:eastAsia="Arial" w:hAnsi="Arial Narrow" w:cs="Arial Narrow"/>
          <w:color w:val="000000"/>
          <w:szCs w:val="24"/>
        </w:rPr>
        <w:t xml:space="preserve">El Pleno ha aprobado también rechazar la única alegación presentada durante el trámite de información pública. </w:t>
      </w:r>
    </w:p>
    <w:p w:rsidR="00020A08" w:rsidRDefault="00020A08">
      <w:pPr>
        <w:jc w:val="both"/>
        <w:rPr>
          <w:rFonts w:eastAsia="Arial" w:cs="Arial Narrow"/>
          <w:color w:val="000000"/>
        </w:rPr>
      </w:pPr>
    </w:p>
    <w:p w:rsidR="00020A08" w:rsidRDefault="00027573">
      <w:pPr>
        <w:jc w:val="both"/>
        <w:rPr>
          <w:rFonts w:ascii="Arial Narrow" w:hAnsi="Arial Narrow"/>
          <w:szCs w:val="24"/>
        </w:rPr>
      </w:pPr>
      <w:r>
        <w:rPr>
          <w:rFonts w:ascii="Arial Narrow" w:eastAsia="Arial" w:hAnsi="Arial Narrow" w:cs="Arial Narrow"/>
          <w:color w:val="000000"/>
          <w:szCs w:val="24"/>
        </w:rPr>
        <w:t>Al inicio del Pleno, la Corporación Municipal ha guardado un minut</w:t>
      </w:r>
      <w:r>
        <w:rPr>
          <w:rFonts w:ascii="Arial Narrow" w:eastAsia="Arial" w:hAnsi="Arial Narrow" w:cs="Arial Narrow"/>
          <w:color w:val="000000"/>
          <w:szCs w:val="24"/>
        </w:rPr>
        <w:t xml:space="preserve">o de silencio por las víctimas del incendio del edificio de viviendas ocurrido en la tarde de ayer en el barrio de </w:t>
      </w:r>
      <w:proofErr w:type="spellStart"/>
      <w:r>
        <w:rPr>
          <w:rFonts w:ascii="Arial Narrow" w:eastAsia="Arial" w:hAnsi="Arial Narrow" w:cs="Arial Narrow"/>
          <w:color w:val="000000"/>
          <w:szCs w:val="24"/>
        </w:rPr>
        <w:t>Campanar</w:t>
      </w:r>
      <w:proofErr w:type="spellEnd"/>
      <w:r>
        <w:rPr>
          <w:rFonts w:ascii="Arial Narrow" w:eastAsia="Arial" w:hAnsi="Arial Narrow" w:cs="Arial Narrow"/>
          <w:color w:val="000000"/>
          <w:szCs w:val="24"/>
        </w:rPr>
        <w:t xml:space="preserve"> en Valencia, en el que al menos cuatro personas han fallecido, y otras 19 se encuentran desaparecidas. María José García-Pelayo ha a</w:t>
      </w:r>
      <w:r>
        <w:rPr>
          <w:rFonts w:ascii="Arial Narrow" w:eastAsia="Arial" w:hAnsi="Arial Narrow" w:cs="Arial Narrow"/>
          <w:color w:val="000000"/>
          <w:szCs w:val="24"/>
        </w:rPr>
        <w:t xml:space="preserve">nunciado que ya se ha dirigido a la alcaldesa de esta ciudad para trasladarle “su solidaridad y apoyo  en estos </w:t>
      </w:r>
      <w:proofErr w:type="gramStart"/>
      <w:r>
        <w:rPr>
          <w:rFonts w:ascii="Arial Narrow" w:eastAsia="Arial" w:hAnsi="Arial Narrow" w:cs="Arial Narrow"/>
          <w:color w:val="000000"/>
          <w:szCs w:val="24"/>
        </w:rPr>
        <w:t>momentos</w:t>
      </w:r>
      <w:proofErr w:type="gramEnd"/>
      <w:r>
        <w:rPr>
          <w:rFonts w:ascii="Arial Narrow" w:eastAsia="Arial" w:hAnsi="Arial Narrow" w:cs="Arial Narrow"/>
          <w:color w:val="000000"/>
          <w:szCs w:val="24"/>
        </w:rPr>
        <w:t xml:space="preserve"> difíciles”. </w:t>
      </w:r>
    </w:p>
    <w:p w:rsidR="00020A08" w:rsidRDefault="00020A08">
      <w:pPr>
        <w:jc w:val="both"/>
        <w:rPr>
          <w:rFonts w:eastAsia="Tahoma" w:cs="Arial Narrow"/>
          <w:shd w:val="clear" w:color="auto" w:fill="FFFF00"/>
        </w:rPr>
      </w:pPr>
    </w:p>
    <w:p w:rsidR="00020A08" w:rsidRDefault="00027573">
      <w:pPr>
        <w:jc w:val="both"/>
        <w:rPr>
          <w:rFonts w:ascii="Arial Narrow" w:hAnsi="Arial Narrow"/>
          <w:szCs w:val="24"/>
        </w:rPr>
      </w:pPr>
      <w:r>
        <w:rPr>
          <w:rFonts w:ascii="Arial Narrow" w:hAnsi="Arial Narrow" w:cs="Arial"/>
          <w:szCs w:val="24"/>
        </w:rPr>
        <w:t>En relación al asunto de viñedo, la delegada de Urbanismo, Belén de la Cuadra, ha recordado que</w:t>
      </w:r>
      <w:r>
        <w:rPr>
          <w:rFonts w:ascii="Arial Narrow" w:hAnsi="Arial Narrow" w:cs="Arial"/>
          <w:szCs w:val="24"/>
        </w:rPr>
        <w:t xml:space="preserve"> Pleno Municipal en la sesión celebrada el día 27 de octubre de 2023, “se posicionó claramente a favor de adoptar medidas para proteger una parte del territorio que conforma el término municipal, en la que se ubican los históricos pagos de viñas”, y por ta</w:t>
      </w:r>
      <w:r>
        <w:rPr>
          <w:rFonts w:ascii="Arial Narrow" w:hAnsi="Arial Narrow" w:cs="Arial"/>
          <w:szCs w:val="24"/>
        </w:rPr>
        <w:t xml:space="preserve">nto, este documento es parte del compromiso del Gobierno municipal para salvaguardar el paisaje del viñedo. </w:t>
      </w:r>
    </w:p>
    <w:p w:rsidR="00020A08" w:rsidRDefault="00020A08">
      <w:pPr>
        <w:jc w:val="both"/>
        <w:rPr>
          <w:rFonts w:cs="Arial"/>
        </w:rPr>
      </w:pPr>
    </w:p>
    <w:p w:rsidR="00020A08" w:rsidRDefault="00027573">
      <w:pPr>
        <w:jc w:val="both"/>
        <w:rPr>
          <w:rFonts w:ascii="Arial Narrow" w:hAnsi="Arial Narrow"/>
          <w:szCs w:val="24"/>
        </w:rPr>
      </w:pPr>
      <w:r>
        <w:rPr>
          <w:rFonts w:ascii="Arial Narrow" w:hAnsi="Arial Narrow" w:cs="Arial"/>
          <w:szCs w:val="24"/>
        </w:rPr>
        <w:lastRenderedPageBreak/>
        <w:t>La razón que motiva estas medidas “es la sucesiva implantación de instalaciones para la producción de energía mediante tecnologías de fuentes reno</w:t>
      </w:r>
      <w:r>
        <w:rPr>
          <w:rFonts w:ascii="Arial Narrow" w:hAnsi="Arial Narrow" w:cs="Arial"/>
          <w:szCs w:val="24"/>
        </w:rPr>
        <w:t xml:space="preserve">vables, y el efecto acumulativo en el territorio de las mismas”. </w:t>
      </w:r>
    </w:p>
    <w:p w:rsidR="00020A08" w:rsidRDefault="00020A08">
      <w:pPr>
        <w:jc w:val="both"/>
        <w:rPr>
          <w:rFonts w:cs="Arial"/>
        </w:rPr>
      </w:pPr>
    </w:p>
    <w:p w:rsidR="00020A08" w:rsidRDefault="00027573">
      <w:pPr>
        <w:jc w:val="both"/>
        <w:rPr>
          <w:rFonts w:ascii="Arial Narrow" w:hAnsi="Arial Narrow"/>
          <w:szCs w:val="24"/>
        </w:rPr>
      </w:pPr>
      <w:r>
        <w:rPr>
          <w:rFonts w:ascii="Arial Narrow" w:hAnsi="Arial Narrow" w:cs="Arial"/>
          <w:szCs w:val="24"/>
        </w:rPr>
        <w:t>En relación a ello, la delegada ha explicado que “se ha constatado que el PGOU vigente no ha si</w:t>
      </w:r>
      <w:r>
        <w:rPr>
          <w:rFonts w:ascii="Arial Narrow" w:hAnsi="Arial Narrow" w:cs="Arial"/>
          <w:szCs w:val="24"/>
        </w:rPr>
        <w:t>do desarrollado aún para  disponer de las  herramientas adecuadas, ya que en él se dice que de</w:t>
      </w:r>
      <w:r>
        <w:rPr>
          <w:rFonts w:ascii="Arial Narrow" w:hAnsi="Arial Narrow" w:cs="Arial"/>
          <w:szCs w:val="24"/>
        </w:rPr>
        <w:t>berá redactarse un Plan Especial de Ordenación de los Recursos Energéticos Solares, una obligación permanece incumplida; y por otra parte, la elaboración del Plan Especial de Ordenación de los Recursos Eólicos data de 2005, por lo que parece conveniente su</w:t>
      </w:r>
      <w:r>
        <w:rPr>
          <w:rFonts w:ascii="Arial Narrow" w:hAnsi="Arial Narrow" w:cs="Arial"/>
          <w:szCs w:val="24"/>
        </w:rPr>
        <w:t xml:space="preserve"> revisión y adaptación, una vez transcurridos casi veinte años”. </w:t>
      </w:r>
    </w:p>
    <w:p w:rsidR="00020A08" w:rsidRDefault="00020A08">
      <w:pPr>
        <w:jc w:val="both"/>
        <w:rPr>
          <w:rFonts w:cs="Arial"/>
        </w:rPr>
      </w:pPr>
    </w:p>
    <w:p w:rsidR="00020A08" w:rsidRDefault="00027573">
      <w:pPr>
        <w:jc w:val="both"/>
        <w:rPr>
          <w:rFonts w:ascii="Arial Narrow" w:hAnsi="Arial Narrow"/>
          <w:szCs w:val="24"/>
        </w:rPr>
      </w:pPr>
      <w:r>
        <w:rPr>
          <w:rFonts w:ascii="Arial Narrow" w:hAnsi="Arial Narrow" w:cs="Arial"/>
          <w:szCs w:val="24"/>
        </w:rPr>
        <w:t xml:space="preserve">Ante las circunstancias señaladas anteriormente, el Pleno Municipal en la sesión de 27 de octubre adoptó  tres acuerdos; el primer acuerdo consistió en “considerar necesario que se apruebe </w:t>
      </w:r>
      <w:r>
        <w:rPr>
          <w:rFonts w:ascii="Arial Narrow" w:hAnsi="Arial Narrow" w:cs="Arial"/>
          <w:szCs w:val="24"/>
        </w:rPr>
        <w:t>un solo Plan Especial que regule la implantación de proyectos relacionados con la producción y almacenamiento de energías renovables en todo el término municipal</w:t>
      </w:r>
      <w:r>
        <w:rPr>
          <w:rFonts w:ascii="Arial Narrow" w:hAnsi="Arial Narrow" w:cs="Arial"/>
          <w:color w:val="000000"/>
          <w:szCs w:val="24"/>
        </w:rPr>
        <w:t>”, tal y como ha indicado.</w:t>
      </w:r>
    </w:p>
    <w:p w:rsidR="00020A08" w:rsidRDefault="00020A08">
      <w:pPr>
        <w:jc w:val="both"/>
        <w:rPr>
          <w:rFonts w:cs="Arial"/>
          <w:color w:val="000000"/>
        </w:rPr>
      </w:pPr>
    </w:p>
    <w:p w:rsidR="00020A08" w:rsidRDefault="00027573">
      <w:pPr>
        <w:jc w:val="both"/>
        <w:rPr>
          <w:rFonts w:ascii="Arial Narrow" w:hAnsi="Arial Narrow"/>
          <w:b/>
          <w:bCs/>
          <w:szCs w:val="24"/>
        </w:rPr>
      </w:pPr>
      <w:r>
        <w:rPr>
          <w:rFonts w:ascii="Arial Narrow" w:hAnsi="Arial Narrow" w:cs="Arial"/>
          <w:b/>
          <w:bCs/>
          <w:color w:val="000000"/>
          <w:szCs w:val="24"/>
        </w:rPr>
        <w:t>Moratoria de dos años</w:t>
      </w:r>
    </w:p>
    <w:p w:rsidR="00020A08" w:rsidRDefault="00020A08">
      <w:pPr>
        <w:jc w:val="both"/>
        <w:rPr>
          <w:rFonts w:cs="Arial"/>
          <w:color w:val="000000"/>
        </w:rPr>
      </w:pPr>
    </w:p>
    <w:p w:rsidR="00020A08" w:rsidRDefault="00027573">
      <w:pPr>
        <w:jc w:val="both"/>
        <w:rPr>
          <w:rFonts w:ascii="Arial Narrow" w:hAnsi="Arial Narrow"/>
          <w:szCs w:val="24"/>
        </w:rPr>
      </w:pPr>
      <w:r>
        <w:rPr>
          <w:rFonts w:ascii="Arial Narrow" w:hAnsi="Arial Narrow" w:cs="Arial"/>
          <w:color w:val="000000"/>
          <w:szCs w:val="24"/>
        </w:rPr>
        <w:t>El segundo acuerdo tenía como objetivo “form</w:t>
      </w:r>
      <w:r>
        <w:rPr>
          <w:rFonts w:ascii="Arial Narrow" w:hAnsi="Arial Narrow" w:cs="Arial"/>
          <w:color w:val="000000"/>
          <w:szCs w:val="24"/>
        </w:rPr>
        <w:t>ular una medida coyuntural de salvaguarda por un periodo de dos años (cuya aprobación tenía carácter de aprobación inicial), consistente en establecer un aplazamiento temporal de nuevas autorizaciones para la implantación de iniciativas que comporten la tr</w:t>
      </w:r>
      <w:r>
        <w:rPr>
          <w:rFonts w:ascii="Arial Narrow" w:hAnsi="Arial Narrow" w:cs="Arial"/>
          <w:color w:val="000000"/>
          <w:szCs w:val="24"/>
        </w:rPr>
        <w:t>ansformación de suelo para uso industrial energético (parques eólicos, fotovoltaicos, hidrógeno verde, contenedores para almacenamiento de energía).</w:t>
      </w:r>
    </w:p>
    <w:p w:rsidR="00020A08" w:rsidRDefault="00020A08">
      <w:pPr>
        <w:jc w:val="both"/>
        <w:rPr>
          <w:rFonts w:cs="Arial"/>
          <w:color w:val="000000"/>
        </w:rPr>
      </w:pPr>
    </w:p>
    <w:p w:rsidR="00020A08" w:rsidRDefault="00027573">
      <w:pPr>
        <w:jc w:val="both"/>
        <w:rPr>
          <w:rFonts w:ascii="Arial Narrow" w:hAnsi="Arial Narrow"/>
          <w:szCs w:val="24"/>
        </w:rPr>
      </w:pPr>
      <w:r>
        <w:rPr>
          <w:rFonts w:ascii="Arial Narrow" w:eastAsia="Tahoma" w:hAnsi="Arial Narrow" w:cs="Arial Narrow"/>
          <w:color w:val="000000"/>
          <w:szCs w:val="24"/>
        </w:rPr>
        <w:t xml:space="preserve">Cabe recordar que esta moratoria </w:t>
      </w:r>
      <w:r>
        <w:rPr>
          <w:rFonts w:ascii="Arial Narrow" w:hAnsi="Arial Narrow" w:cs="Arial Narrow"/>
          <w:color w:val="000000"/>
          <w:szCs w:val="24"/>
        </w:rPr>
        <w:t>comprende los terrenos de viñas del término municipal de Jerez, que repre</w:t>
      </w:r>
      <w:r>
        <w:rPr>
          <w:rFonts w:ascii="Arial Narrow" w:hAnsi="Arial Narrow" w:cs="Arial Narrow"/>
          <w:color w:val="000000"/>
          <w:szCs w:val="24"/>
        </w:rPr>
        <w:t xml:space="preserve">sentan un 4% del total, junto con una banda perimetral de 600 metros alrededor. </w:t>
      </w:r>
      <w:r>
        <w:rPr>
          <w:rFonts w:ascii="Arial Narrow" w:hAnsi="Arial Narrow" w:cs="Arial Narrow"/>
          <w:color w:val="000000"/>
          <w:szCs w:val="24"/>
          <w:lang w:val="es-ES_tradnl"/>
        </w:rPr>
        <w:t xml:space="preserve">La moratoria deberá revisarse en el plazo máximo de dos años y quedará sin efecto con la </w:t>
      </w:r>
      <w:proofErr w:type="spellStart"/>
      <w:r>
        <w:rPr>
          <w:rFonts w:ascii="Arial Narrow" w:hAnsi="Arial Narrow" w:cs="Arial Narrow"/>
          <w:color w:val="000000"/>
          <w:szCs w:val="24"/>
          <w:lang w:val="es-ES_tradnl"/>
        </w:rPr>
        <w:t>entraga</w:t>
      </w:r>
      <w:proofErr w:type="spellEnd"/>
      <w:r>
        <w:rPr>
          <w:rFonts w:ascii="Arial Narrow" w:hAnsi="Arial Narrow" w:cs="Arial Narrow"/>
          <w:color w:val="000000"/>
          <w:szCs w:val="24"/>
          <w:lang w:val="es-ES_tradnl"/>
        </w:rPr>
        <w:t xml:space="preserve"> en vigor del Plan Especial para la Implantación de Proyectos de Producción y Al</w:t>
      </w:r>
      <w:r>
        <w:rPr>
          <w:rFonts w:ascii="Arial Narrow" w:hAnsi="Arial Narrow" w:cs="Arial Narrow"/>
          <w:color w:val="000000"/>
          <w:szCs w:val="24"/>
          <w:lang w:val="es-ES_tradnl"/>
        </w:rPr>
        <w:t xml:space="preserve">macenamiento de Energías Renovables. </w:t>
      </w:r>
    </w:p>
    <w:p w:rsidR="00020A08" w:rsidRDefault="00020A08">
      <w:pPr>
        <w:jc w:val="both"/>
        <w:rPr>
          <w:rFonts w:cs="Arial"/>
          <w:color w:val="000000"/>
          <w:lang w:val="es-ES_tradnl"/>
        </w:rPr>
      </w:pPr>
    </w:p>
    <w:p w:rsidR="00020A08" w:rsidRDefault="00027573">
      <w:pPr>
        <w:jc w:val="both"/>
        <w:rPr>
          <w:rFonts w:ascii="Arial Narrow" w:hAnsi="Arial Narrow"/>
          <w:szCs w:val="24"/>
        </w:rPr>
      </w:pPr>
      <w:r>
        <w:rPr>
          <w:rFonts w:ascii="Arial Narrow" w:hAnsi="Arial Narrow" w:cs="Arial"/>
          <w:color w:val="000000"/>
          <w:szCs w:val="24"/>
        </w:rPr>
        <w:t xml:space="preserve">Y el </w:t>
      </w:r>
      <w:r>
        <w:rPr>
          <w:rFonts w:ascii="Arial Narrow" w:hAnsi="Arial Narrow" w:cs="Arial"/>
          <w:color w:val="000000"/>
          <w:szCs w:val="24"/>
        </w:rPr>
        <w:t>tercer y último acuerdo consistió en  someter a trámite de información pública el acuerdo anterior por plazo de 30 días. Tras la información pública a que ha estado sometido el acuerdo referido, “se ha presentado una sola alegación, que viene firmada por u</w:t>
      </w:r>
      <w:r>
        <w:rPr>
          <w:rFonts w:ascii="Arial Narrow" w:hAnsi="Arial Narrow" w:cs="Arial"/>
          <w:color w:val="000000"/>
          <w:szCs w:val="24"/>
        </w:rPr>
        <w:t xml:space="preserve">n ciudadano a título particular,  y que tras ser analizada se considera que merece ser rechazada”, tal y como ha informado la delegada. </w:t>
      </w:r>
    </w:p>
    <w:p w:rsidR="00020A08" w:rsidRDefault="00020A08">
      <w:pPr>
        <w:jc w:val="both"/>
        <w:rPr>
          <w:rFonts w:cs="Arial"/>
          <w:color w:val="000000"/>
        </w:rPr>
      </w:pPr>
    </w:p>
    <w:p w:rsidR="00020A08" w:rsidRDefault="00027573">
      <w:pPr>
        <w:jc w:val="both"/>
        <w:rPr>
          <w:rFonts w:ascii="Arial Narrow" w:hAnsi="Arial Narrow"/>
          <w:szCs w:val="24"/>
        </w:rPr>
      </w:pPr>
      <w:r>
        <w:rPr>
          <w:rFonts w:ascii="Arial Narrow" w:eastAsia="Arial" w:hAnsi="Arial Narrow" w:cs="Arial"/>
          <w:color w:val="000000"/>
          <w:szCs w:val="24"/>
        </w:rPr>
        <w:t>En relación a esta alegación, la delegada ha subrayado que el Pleno adoptó el anterior acuerdo de aprobación inicial b</w:t>
      </w:r>
      <w:r>
        <w:rPr>
          <w:rFonts w:ascii="Arial Narrow" w:eastAsia="Arial" w:hAnsi="Arial Narrow" w:cs="Arial"/>
          <w:color w:val="000000"/>
          <w:szCs w:val="24"/>
        </w:rPr>
        <w:t>asándose en dos pilares; “por un lado, en la protección paisajística, basándonos en el Convenio Europeo del Paisaje, cuya jerarquía normativa se reconoce y establece en la propia Constitución, y se ratifica en la Ley 25/2014, de 27 de noviembre, de Tratado</w:t>
      </w:r>
      <w:r>
        <w:rPr>
          <w:rFonts w:ascii="Arial Narrow" w:eastAsia="Arial" w:hAnsi="Arial Narrow" w:cs="Arial"/>
          <w:color w:val="000000"/>
          <w:szCs w:val="24"/>
        </w:rPr>
        <w:t xml:space="preserve">s y otros Acuerdos Internacionales”. </w:t>
      </w:r>
    </w:p>
    <w:p w:rsidR="00020A08" w:rsidRDefault="00020A08">
      <w:pPr>
        <w:jc w:val="both"/>
        <w:rPr>
          <w:rFonts w:eastAsia="Arial" w:cs="Arial"/>
          <w:color w:val="000000"/>
        </w:rPr>
      </w:pPr>
    </w:p>
    <w:p w:rsidR="00020A08" w:rsidRDefault="00027573">
      <w:pPr>
        <w:jc w:val="both"/>
        <w:rPr>
          <w:rFonts w:ascii="Arial Narrow" w:hAnsi="Arial Narrow"/>
          <w:szCs w:val="24"/>
        </w:rPr>
      </w:pPr>
      <w:r>
        <w:rPr>
          <w:rFonts w:ascii="Arial Narrow" w:eastAsia="Arial" w:hAnsi="Arial Narrow" w:cs="Arial"/>
          <w:color w:val="000000"/>
          <w:szCs w:val="24"/>
        </w:rPr>
        <w:t>Y por otro, el acuerdo se basa “en el principio de autonomía municipal de las entidades locales, reconocido en la propia  Constitución y en la Ley de Bases de Régimen Local, en la que se dice que</w:t>
      </w:r>
      <w:r>
        <w:rPr>
          <w:rFonts w:ascii="Arial Narrow" w:eastAsia="Arial" w:hAnsi="Arial Narrow" w:cs="Arial"/>
          <w:color w:val="000000"/>
          <w:szCs w:val="24"/>
        </w:rPr>
        <w:t xml:space="preserve"> deberá asegurar a los Municipios, las Provincias y las Islas su </w:t>
      </w:r>
      <w:r>
        <w:rPr>
          <w:rFonts w:ascii="Arial Narrow" w:eastAsia="Arial" w:hAnsi="Arial Narrow" w:cs="Arial"/>
          <w:color w:val="000000"/>
          <w:szCs w:val="24"/>
        </w:rPr>
        <w:lastRenderedPageBreak/>
        <w:t>derecho a intervenir en cuantos asuntos afecten directamente al círculo de sus intereses, atribuyéndoles las competencias que proceda en atención a las características de la actividad pública</w:t>
      </w:r>
      <w:r>
        <w:rPr>
          <w:rFonts w:ascii="Arial Narrow" w:eastAsia="Arial" w:hAnsi="Arial Narrow" w:cs="Arial"/>
          <w:color w:val="000000"/>
          <w:szCs w:val="24"/>
        </w:rPr>
        <w:t xml:space="preserve"> de que se trate y a la capacidad de gestión de la Entidad Local”. </w:t>
      </w:r>
    </w:p>
    <w:p w:rsidR="00020A08" w:rsidRDefault="00020A08">
      <w:pPr>
        <w:spacing w:line="276" w:lineRule="auto"/>
        <w:jc w:val="both"/>
        <w:rPr>
          <w:rFonts w:ascii="Arial Narrow" w:eastAsia="Arial" w:hAnsi="Arial Narrow" w:cs="Arial"/>
          <w:color w:val="000000"/>
          <w:szCs w:val="24"/>
        </w:rPr>
      </w:pPr>
    </w:p>
    <w:p w:rsidR="00020A08" w:rsidRDefault="00027573">
      <w:pPr>
        <w:jc w:val="both"/>
        <w:rPr>
          <w:rFonts w:ascii="Arial Narrow" w:hAnsi="Arial Narrow"/>
          <w:szCs w:val="24"/>
        </w:rPr>
      </w:pPr>
      <w:r>
        <w:rPr>
          <w:rFonts w:ascii="Arial Narrow" w:hAnsi="Arial Narrow" w:cs="Arial Narrow"/>
          <w:szCs w:val="24"/>
          <w:lang w:val="es-ES_tradnl"/>
        </w:rPr>
        <w:t xml:space="preserve">El acuerdo plenario aprobado hoy incluye también la voluntad de iniciar un proceso participativo abierto al conjunto de la </w:t>
      </w:r>
      <w:proofErr w:type="spellStart"/>
      <w:r>
        <w:rPr>
          <w:rFonts w:ascii="Arial Narrow" w:hAnsi="Arial Narrow" w:cs="Arial Narrow"/>
          <w:szCs w:val="24"/>
          <w:lang w:val="es-ES_tradnl"/>
        </w:rPr>
        <w:t>ciudadania</w:t>
      </w:r>
      <w:proofErr w:type="spellEnd"/>
      <w:r>
        <w:rPr>
          <w:rFonts w:ascii="Arial Narrow" w:hAnsi="Arial Narrow" w:cs="Arial Narrow"/>
          <w:szCs w:val="24"/>
          <w:lang w:val="es-ES_tradnl"/>
        </w:rPr>
        <w:t xml:space="preserve"> y de todos los colectivos implicados en relación al c</w:t>
      </w:r>
      <w:r>
        <w:rPr>
          <w:rFonts w:ascii="Arial Narrow" w:hAnsi="Arial Narrow" w:cs="Arial Narrow"/>
          <w:szCs w:val="24"/>
          <w:lang w:val="es-ES_tradnl"/>
        </w:rPr>
        <w:t xml:space="preserve">itado Plan Especial. </w:t>
      </w:r>
    </w:p>
    <w:p w:rsidR="00020A08" w:rsidRDefault="00020A08">
      <w:pPr>
        <w:jc w:val="both"/>
        <w:rPr>
          <w:rFonts w:cs="Arial Narrow"/>
          <w:lang w:val="es-ES_tradnl"/>
        </w:rPr>
      </w:pPr>
    </w:p>
    <w:p w:rsidR="00020A08" w:rsidRDefault="00027573">
      <w:pPr>
        <w:jc w:val="both"/>
        <w:rPr>
          <w:rFonts w:ascii="Arial Narrow" w:hAnsi="Arial Narrow"/>
          <w:b/>
          <w:bCs/>
          <w:szCs w:val="24"/>
        </w:rPr>
      </w:pPr>
      <w:r>
        <w:rPr>
          <w:rFonts w:ascii="Arial Narrow" w:hAnsi="Arial Narrow" w:cs="Arial Narrow"/>
          <w:b/>
          <w:bCs/>
          <w:szCs w:val="24"/>
          <w:lang w:val="es-ES_tradnl"/>
        </w:rPr>
        <w:t>Inadmisión de recurso</w:t>
      </w:r>
    </w:p>
    <w:p w:rsidR="00020A08" w:rsidRDefault="00020A08">
      <w:pPr>
        <w:jc w:val="both"/>
        <w:rPr>
          <w:rFonts w:cs="Arial Narrow"/>
          <w:lang w:val="es-ES_tradnl"/>
        </w:rPr>
      </w:pPr>
    </w:p>
    <w:p w:rsidR="00020A08" w:rsidRDefault="00027573">
      <w:pPr>
        <w:jc w:val="both"/>
        <w:rPr>
          <w:rFonts w:ascii="Arial Narrow" w:hAnsi="Arial Narrow"/>
          <w:szCs w:val="24"/>
        </w:rPr>
      </w:pPr>
      <w:r>
        <w:rPr>
          <w:rFonts w:ascii="Arial Narrow" w:hAnsi="Arial Narrow" w:cs="Arial Narrow"/>
          <w:szCs w:val="24"/>
          <w:lang w:val="es-ES_tradnl"/>
        </w:rPr>
        <w:t xml:space="preserve">Por otro lado, y en relación a este asunto, el Pleno ha aprobado también la inadmisión del recurso de reposición presentado por Pedro Pacheco Herrera contra el acuerdo adoptado por el Pleno en la sesión </w:t>
      </w:r>
      <w:r>
        <w:rPr>
          <w:rFonts w:ascii="Arial Narrow" w:hAnsi="Arial Narrow" w:cs="Arial Narrow"/>
          <w:szCs w:val="24"/>
          <w:lang w:val="es-ES_tradnl"/>
        </w:rPr>
        <w:t>de octubre, en lo concerniente al establecimiento de la moratoria acordada, dado que la resolución impugnada por el recurrente, no tiene la consideración de resolución finalizadora del procedimiento y no pone fin a la vía administrativa, como por otra part</w:t>
      </w:r>
      <w:r>
        <w:rPr>
          <w:rFonts w:ascii="Arial Narrow" w:hAnsi="Arial Narrow" w:cs="Arial Narrow"/>
          <w:szCs w:val="24"/>
          <w:lang w:val="es-ES_tradnl"/>
        </w:rPr>
        <w:t>e se reconoce implícitamente por el señor Pacheco Herrera y se pone de manifiesto con la presentación por su parte de un escrito, de similar contenido al de su recurso, al que él mismo denomina “ alegaciones en el trámite de información pública al que se s</w:t>
      </w:r>
      <w:r>
        <w:rPr>
          <w:rFonts w:ascii="Arial Narrow" w:hAnsi="Arial Narrow" w:cs="Arial Narrow"/>
          <w:szCs w:val="24"/>
          <w:lang w:val="es-ES_tradnl"/>
        </w:rPr>
        <w:t xml:space="preserve">omete el acuerdo plenario de octubre”. </w:t>
      </w:r>
    </w:p>
    <w:p w:rsidR="00020A08" w:rsidRDefault="00020A08">
      <w:pPr>
        <w:jc w:val="both"/>
        <w:rPr>
          <w:rFonts w:ascii="Arial Narrow" w:hAnsi="Arial Narrow" w:cs="Arial Narrow"/>
          <w:szCs w:val="24"/>
        </w:rPr>
      </w:pPr>
    </w:p>
    <w:p w:rsidR="00020A08" w:rsidRDefault="00027573">
      <w:pPr>
        <w:jc w:val="both"/>
        <w:rPr>
          <w:rFonts w:ascii="Arial Narrow" w:hAnsi="Arial Narrow" w:cs="Arial Narrow"/>
          <w:sz w:val="26"/>
          <w:szCs w:val="26"/>
        </w:rPr>
      </w:pPr>
      <w:r>
        <w:rPr>
          <w:rFonts w:ascii="Arial Narrow" w:hAnsi="Arial Narrow" w:cs="Arial Narrow"/>
          <w:sz w:val="26"/>
          <w:szCs w:val="26"/>
        </w:rPr>
        <w:t>(Se adjunta fotografía)</w:t>
      </w:r>
    </w:p>
    <w:p w:rsidR="00020A08" w:rsidRDefault="00020A08">
      <w:pPr>
        <w:jc w:val="both"/>
        <w:rPr>
          <w:rFonts w:ascii="Arial Narrow" w:hAnsi="Arial Narrow" w:cs="Arial Narrow"/>
          <w:sz w:val="26"/>
          <w:szCs w:val="26"/>
        </w:rPr>
      </w:pPr>
    </w:p>
    <w:p w:rsidR="00020A08" w:rsidRDefault="00020A08">
      <w:pPr>
        <w:jc w:val="both"/>
        <w:rPr>
          <w:rFonts w:ascii="Arial Narrow" w:hAnsi="Arial Narrow" w:cs="Arial Narrow"/>
          <w:sz w:val="26"/>
          <w:szCs w:val="26"/>
        </w:rPr>
      </w:pPr>
    </w:p>
    <w:sectPr w:rsidR="00020A08">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27573">
      <w:r>
        <w:separator/>
      </w:r>
    </w:p>
  </w:endnote>
  <w:endnote w:type="continuationSeparator" w:id="0">
    <w:p w:rsidR="00000000" w:rsidRDefault="0002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08" w:rsidRDefault="00027573">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27573">
      <w:r>
        <w:separator/>
      </w:r>
    </w:p>
  </w:footnote>
  <w:footnote w:type="continuationSeparator" w:id="0">
    <w:p w:rsidR="00000000" w:rsidRDefault="00027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08" w:rsidRDefault="00027573">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20A08"/>
    <w:rsid w:val="00020A08"/>
    <w:rsid w:val="000275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34845-FFE5-47B2-8778-B30645C3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next w:val="Textoindependiente"/>
    <w:qFormat/>
    <w:pPr>
      <w:widowControl w:val="0"/>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A41831"/>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inespaciado">
    <w:name w:val="No Spacing"/>
    <w:basedOn w:val="Normal"/>
    <w:qFormat/>
    <w:rsid w:val="006F3BE5"/>
  </w:style>
  <w:style w:type="paragraph" w:styleId="Prrafodelista">
    <w:name w:val="List Paragraph"/>
    <w:basedOn w:val="Normal"/>
    <w:qFormat/>
    <w:pPr>
      <w:spacing w:after="200"/>
      <w:ind w:left="720"/>
      <w:contextualSpacing/>
    </w:pPr>
    <w:rPr>
      <w:rFonts w:ascii="Calibri" w:eastAsia="Calibri" w:hAnsi="Calibri" w:cs="Calibri"/>
      <w:sz w:val="22"/>
      <w:szCs w:val="22"/>
      <w:lang w:eastAsia="es-ES"/>
    </w:rPr>
  </w:style>
  <w:style w:type="paragraph" w:styleId="Textodeglobo">
    <w:name w:val="Balloon Text"/>
    <w:basedOn w:val="Normal"/>
    <w:qForma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1007</Words>
  <Characters>5540</Characters>
  <Application>Microsoft Office Word</Application>
  <DocSecurity>0</DocSecurity>
  <Lines>46</Lines>
  <Paragraphs>13</Paragraphs>
  <ScaleCrop>false</ScaleCrop>
  <Company>HP</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73</cp:revision>
  <dcterms:created xsi:type="dcterms:W3CDTF">2024-02-23T08:53:00Z</dcterms:created>
  <dcterms:modified xsi:type="dcterms:W3CDTF">2024-02-23T08:55:00Z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