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Cs/>
          <w:sz w:val="40"/>
          <w:szCs w:val="40"/>
        </w:rPr>
      </w:pPr>
      <w:r>
        <w:rPr>
          <w:rFonts w:ascii="Arial Narrow" w:hAnsi="Arial Narrow"/>
          <w:b/>
          <w:bCs/>
          <w:sz w:val="40"/>
          <w:szCs w:val="40"/>
        </w:rPr>
        <w:t>El Ayuntamiento reduce los trámites para atender y gestionar las ayudas sociales y pone el foco en aumentar la participación de los jerezanos</w:t>
      </w:r>
    </w:p>
    <w:p>
      <w:pPr>
        <w:pStyle w:val="Normal"/>
        <w:rPr>
          <w:rFonts w:ascii="Arial Narrow" w:hAnsi="Arial Narrow"/>
        </w:rPr>
      </w:pPr>
      <w:r>
        <w:rPr>
          <w:rFonts w:ascii="Arial Narrow" w:hAnsi="Arial Narrow"/>
        </w:rPr>
      </w:r>
    </w:p>
    <w:p>
      <w:pPr>
        <w:pStyle w:val="Normal"/>
        <w:rPr>
          <w:rFonts w:ascii="Arial Narrow" w:hAnsi="Arial Narrow"/>
          <w:sz w:val="36"/>
          <w:szCs w:val="36"/>
        </w:rPr>
      </w:pPr>
      <w:r>
        <w:rPr>
          <w:rFonts w:ascii="Arial Narrow" w:hAnsi="Arial Narrow"/>
          <w:sz w:val="36"/>
          <w:szCs w:val="36"/>
        </w:rPr>
        <w:t>La simplificación de las citas en el Centro de las Mujeres, la actualización del Reglamento de Participación Ciudadana y la constitución de la Comisión Local de Juventud, retos del área social del Gobierno de Jerez</w:t>
      </w:r>
    </w:p>
    <w:p>
      <w:pPr>
        <w:pStyle w:val="Normal"/>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ascii="Arial Narrow" w:hAnsi="Arial Narrow"/>
          <w:b/>
          <w:bCs/>
          <w:sz w:val="26"/>
          <w:szCs w:val="26"/>
        </w:rPr>
        <w:t>27</w:t>
      </w:r>
      <w:r>
        <w:rPr>
          <w:rFonts w:ascii="Arial Narrow" w:hAnsi="Arial Narrow"/>
          <w:b/>
          <w:bCs/>
          <w:sz w:val="26"/>
          <w:szCs w:val="26"/>
        </w:rPr>
        <w:t xml:space="preserve"> de febrero de 2024.</w:t>
      </w:r>
      <w:r>
        <w:rPr>
          <w:rFonts w:ascii="Arial Narrow" w:hAnsi="Arial Narrow"/>
          <w:sz w:val="26"/>
          <w:szCs w:val="26"/>
        </w:rPr>
        <w:t xml:space="preserve"> La teniente de alcaldesa Susana Sánchez y las delegadas Yessika Quintero y Carmen Pina han presentado el balance de gestión correspondiente al primer semestre de legislatura del </w:t>
      </w:r>
      <w:r>
        <w:rPr>
          <w:rFonts w:cs="Arial Narrow" w:ascii="Arial Narrow" w:hAnsi="Arial Narrow"/>
          <w:color w:val="000000"/>
          <w:sz w:val="26"/>
          <w:szCs w:val="26"/>
        </w:rPr>
        <w:t>área de gobierno de Inclusión Social, Familias, Igualdad y Diversidad, Medio Rural, Participación Ciudadana y Juventud. En estos meses, esta área de gobierno ha sumado una gestión comprometida con la innovación y la optimización de servicios, para agilizar la atención a la población más vulnerable, la tramitación de ayudas sociales, y la dotación de citas en el Centro Municipal de Información a las Mujeres. En el ámbito de la participación social, cabe destacar la puesta en marcha del trabajo necesario para la actualización del Reglamento Orgánico de Participación Ciudadana, y para la creación de la Comisión Local de Juventud.</w:t>
      </w:r>
    </w:p>
    <w:p>
      <w:pPr>
        <w:pStyle w:val="Normal"/>
        <w:jc w:val="both"/>
        <w:rPr>
          <w:rFonts w:cs="Arial Narrow"/>
          <w:color w:val="000000"/>
        </w:rPr>
      </w:pPr>
      <w:r>
        <w:rPr>
          <w:rFonts w:cs="Arial Narrow"/>
          <w:color w:val="000000"/>
        </w:rPr>
      </w:r>
    </w:p>
    <w:p>
      <w:pPr>
        <w:pStyle w:val="Normal"/>
        <w:jc w:val="both"/>
        <w:rPr>
          <w:rFonts w:ascii="Arial Narrow" w:hAnsi="Arial Narrow"/>
          <w:sz w:val="26"/>
          <w:szCs w:val="26"/>
        </w:rPr>
      </w:pPr>
      <w:r>
        <w:rPr>
          <w:rFonts w:cs="Arial Narrow" w:ascii="Arial Narrow" w:hAnsi="Arial Narrow"/>
          <w:color w:val="000000"/>
          <w:sz w:val="26"/>
          <w:szCs w:val="26"/>
        </w:rPr>
        <w:t>El Ayuntamiento ha abordado en este inicio de legislatura el sistema de gestión de espera para los cuatro servicios del Centro Municipal de Información a las Mujeres (CMIM). De este modo tanto el servicio de la trabajadora social, como la asesoría jurídica y los dos servicios de psicología incorporan un servicio de cita con aviso de SMS y agendas compartidas que permiten un registro posterior y la explotación estadística de las atenciones.</w:t>
      </w:r>
    </w:p>
    <w:p>
      <w:pPr>
        <w:pStyle w:val="Normal"/>
        <w:jc w:val="both"/>
        <w:rPr>
          <w:rFonts w:cs="Arial Narrow"/>
          <w:color w:val="000000"/>
        </w:rPr>
      </w:pPr>
      <w:r>
        <w:rPr>
          <w:rFonts w:cs="Arial Narrow"/>
          <w:color w:val="000000"/>
        </w:rPr>
      </w:r>
    </w:p>
    <w:p>
      <w:pPr>
        <w:pStyle w:val="Normal"/>
        <w:tabs>
          <w:tab w:val="clear" w:pos="720"/>
          <w:tab w:val="left" w:pos="2636" w:leader="none"/>
        </w:tabs>
        <w:jc w:val="both"/>
        <w:rPr>
          <w:rFonts w:ascii="Arial Narrow" w:hAnsi="Arial Narrow"/>
          <w:sz w:val="26"/>
          <w:szCs w:val="26"/>
        </w:rPr>
      </w:pPr>
      <w:r>
        <w:rPr>
          <w:rFonts w:cs="Arial Narrow" w:ascii="Arial Narrow" w:hAnsi="Arial Narrow"/>
          <w:color w:val="000000"/>
          <w:sz w:val="26"/>
          <w:szCs w:val="26"/>
        </w:rPr>
        <w:t xml:space="preserve">Los datos de atenciones del CMIM en el segundo semestre de 2023 recogen los servicios prestados a 419 mujeres, con un total de 1.090 atenciones. En el caso de mujeres atendidas por violencia de género, han sido 199, con 515 atenciones. </w:t>
      </w:r>
      <w:r>
        <w:rPr>
          <w:rFonts w:cs="Arial Narrow" w:ascii="Arial Narrow" w:hAnsi="Arial Narrow"/>
          <w:sz w:val="26"/>
          <w:szCs w:val="26"/>
        </w:rPr>
        <w:t>En este segundo semestre de 2023 se han atendido y tramitado un total de  47</w:t>
      </w:r>
      <w:r>
        <w:rPr>
          <w:rFonts w:cs="Arial Narrow" w:ascii="Arial Narrow" w:hAnsi="Arial Narrow"/>
          <w:b/>
          <w:sz w:val="26"/>
          <w:szCs w:val="26"/>
        </w:rPr>
        <w:t xml:space="preserve"> </w:t>
      </w:r>
      <w:r>
        <w:rPr>
          <w:rFonts w:cs="Arial Narrow" w:ascii="Arial Narrow" w:hAnsi="Arial Narrow"/>
          <w:sz w:val="26"/>
          <w:szCs w:val="26"/>
        </w:rPr>
        <w:t>notificaciones del Sistema Viogen. Se han contabilizado 16 nuevas altas en el servicio de teleasistencia, y existen 78 usuarias activas.</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cs="Arial Narrow"/>
          <w:color w:val="000000"/>
          <w:sz w:val="26"/>
          <w:szCs w:val="26"/>
        </w:rPr>
      </w:pPr>
      <w:r>
        <w:rPr>
          <w:rFonts w:cs="Arial Narrow" w:ascii="Arial Narrow" w:hAnsi="Arial Narrow"/>
          <w:color w:val="000000"/>
          <w:sz w:val="26"/>
          <w:szCs w:val="26"/>
        </w:rPr>
        <w:t xml:space="preserve">Susana Sánchez ha recordado la constitución del nuevo Consejo Local de las Mujeres destacando el compromiso municipal de dar más contenido a este Consejo, promoviendo su participación en todos los momentos del diseño de las políticas de igualdad. </w:t>
      </w:r>
    </w:p>
    <w:p>
      <w:pPr>
        <w:pStyle w:val="Normal"/>
        <w:jc w:val="both"/>
        <w:rPr>
          <w:rFonts w:ascii="Arial Narrow" w:hAnsi="Arial Narrow" w:cs="Arial Narrow"/>
          <w:color w:val="000000"/>
          <w:sz w:val="26"/>
          <w:szCs w:val="26"/>
        </w:rPr>
      </w:pPr>
      <w:r>
        <w:rPr>
          <w:rFonts w:cs="Arial Narrow" w:ascii="Arial Narrow" w:hAnsi="Arial Narrow"/>
          <w:color w:val="000000"/>
          <w:sz w:val="26"/>
          <w:szCs w:val="26"/>
        </w:rPr>
      </w:r>
    </w:p>
    <w:p>
      <w:pPr>
        <w:pStyle w:val="Normal"/>
        <w:jc w:val="both"/>
        <w:rPr>
          <w:rFonts w:ascii="Arial Narrow" w:hAnsi="Arial Narrow"/>
          <w:sz w:val="26"/>
          <w:szCs w:val="26"/>
        </w:rPr>
      </w:pPr>
      <w:r>
        <w:rPr>
          <w:rFonts w:cs="Arial Narrow" w:ascii="Arial Narrow" w:hAnsi="Arial Narrow"/>
          <w:sz w:val="26"/>
          <w:szCs w:val="26"/>
        </w:rPr>
        <w:t>En cuanto a actividades para este año, cabe destacar el Club de Lectura de Hombres por la Igualdad, o el inicio de una programación de talleres de defensa personal, con un total de veinte sesiones. También se está trabajando para ampliar la campaña del Día del padre Igualitario con propuestas que complementen el concurso de dibujo; y para ampliar el dispositivo del punto violeta que funciona en la Feria, a otros eventos del calendario anual; junto a la creación de puntos arcoíris en instalaciones municipales.</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b/>
          <w:bCs/>
        </w:rPr>
      </w:pPr>
      <w:r>
        <w:rPr>
          <w:rFonts w:cs="Arial Narrow" w:ascii="Arial Narrow" w:hAnsi="Arial Narrow"/>
          <w:b/>
          <w:bCs/>
          <w:sz w:val="26"/>
          <w:szCs w:val="26"/>
        </w:rPr>
        <w:t>Innovación Social</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cs="Arial Narrow"/>
          <w:sz w:val="26"/>
          <w:szCs w:val="26"/>
        </w:rPr>
      </w:pPr>
      <w:r>
        <w:rPr>
          <w:rFonts w:cs="Arial Narrow" w:ascii="Arial Narrow" w:hAnsi="Arial Narrow"/>
          <w:sz w:val="26"/>
          <w:szCs w:val="26"/>
        </w:rPr>
        <w:t>Las delegaciones de Igualdad y Diversidad e Inclusión Social han colaborado de forma estrecha en el ámbito de la innovación administrativa, al igual que lo harán en la ejecución del programa Corresponsables. La delegada Yessika Quintero ha avanzado el trabajo que se va a desarrollar en Jerez gracias a la resolución de la Junta de Andalucía con la concesión de una subvención de 479.885 euros que servirá para ampliar</w:t>
      </w:r>
      <w:r>
        <w:rPr>
          <w:rStyle w:val="Strong"/>
          <w:rFonts w:cs="Arial Narrow" w:ascii="Arial Narrow" w:hAnsi="Arial Narrow"/>
          <w:b w:val="false"/>
          <w:bCs w:val="false"/>
          <w:sz w:val="26"/>
          <w:szCs w:val="26"/>
        </w:rPr>
        <w:t xml:space="preserve"> la Escuela de Verano para atender a niños y niñas con discapacidad y a menores de la zona rural; y la</w:t>
      </w:r>
      <w:r>
        <w:rPr>
          <w:rFonts w:cs="Arial Narrow" w:ascii="Arial Narrow" w:hAnsi="Arial Narrow"/>
          <w:sz w:val="26"/>
          <w:szCs w:val="26"/>
        </w:rPr>
        <w:t xml:space="preserve"> implantación del programa Conciliando, con una bolsa de horas para cuidados dirigidos a familias en situación de vulnerabilidad con necesidades de conciliación para una contratación, formación, búsqueda activa de empleo, o por violencia de género.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cs="Arial Narrow" w:ascii="Arial Narrow" w:hAnsi="Arial Narrow"/>
          <w:sz w:val="26"/>
          <w:szCs w:val="26"/>
        </w:rPr>
        <w:t xml:space="preserve">La Delegación de Inclusión Social aborda ya toda la gestión que supone rentabilizar al máximo la subvención de 8.621.965,44 euros de la Junta de Andalucía para la elaboración de </w:t>
      </w:r>
      <w:r>
        <w:rPr>
          <w:rStyle w:val="Strong"/>
          <w:rFonts w:cs="Arial Narrow" w:ascii="Arial Narrow" w:hAnsi="Arial Narrow"/>
          <w:b w:val="false"/>
          <w:bCs w:val="false"/>
          <w:sz w:val="26"/>
          <w:szCs w:val="26"/>
        </w:rPr>
        <w:t xml:space="preserve">itinerarios de inclusión sociolaboral para colectivos en riesgo de exclusión </w:t>
      </w:r>
      <w:r>
        <w:rPr>
          <w:rFonts w:cs="Arial Narrow" w:ascii="Arial Narrow" w:hAnsi="Arial Narrow"/>
          <w:sz w:val="26"/>
          <w:szCs w:val="26"/>
        </w:rPr>
        <w:t xml:space="preserve">en zonas desfavorecidas en el Marco de la ERACIS, dirigido a la población de las zonas Sur, Oeste y Picadueñas.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Style w:val="Strong"/>
          <w:rFonts w:cs="Arial Narrow" w:ascii="Arial Narrow" w:hAnsi="Arial Narrow"/>
          <w:b w:val="false"/>
          <w:bCs w:val="false"/>
          <w:sz w:val="26"/>
          <w:szCs w:val="26"/>
        </w:rPr>
        <w:t>También en estos meses se han recibido dos subvenciones por un importe global de 394.020 euros con cargo a los Fondos Europeos Next Generation, destinados a</w:t>
      </w:r>
      <w:r>
        <w:rPr>
          <w:rFonts w:cs="Arial Narrow" w:ascii="Arial Narrow" w:hAnsi="Arial Narrow"/>
          <w:sz w:val="26"/>
          <w:szCs w:val="26"/>
        </w:rPr>
        <w:t xml:space="preserve"> la </w:t>
      </w:r>
      <w:r>
        <w:rPr>
          <w:rStyle w:val="Strong"/>
          <w:rFonts w:cs="Arial Narrow" w:ascii="Arial Narrow" w:hAnsi="Arial Narrow"/>
          <w:b w:val="false"/>
          <w:bCs w:val="false"/>
          <w:sz w:val="26"/>
          <w:szCs w:val="26"/>
        </w:rPr>
        <w:t xml:space="preserve">transformación digital </w:t>
      </w:r>
      <w:r>
        <w:rPr>
          <w:rFonts w:cs="Arial Narrow" w:ascii="Arial Narrow" w:hAnsi="Arial Narrow"/>
          <w:sz w:val="26"/>
          <w:szCs w:val="26"/>
        </w:rPr>
        <w:t xml:space="preserve">de los servicios sociales comunitarios y a la contratación de siete </w:t>
      </w:r>
      <w:r>
        <w:rPr>
          <w:rStyle w:val="Strong"/>
          <w:rFonts w:cs="Arial Narrow" w:ascii="Arial Narrow" w:hAnsi="Arial Narrow"/>
          <w:b w:val="false"/>
          <w:bCs w:val="false"/>
          <w:sz w:val="26"/>
          <w:szCs w:val="26"/>
        </w:rPr>
        <w:t xml:space="preserve">trabajadores sociales </w:t>
      </w:r>
      <w:r>
        <w:rPr>
          <w:rFonts w:cs="Arial Narrow" w:ascii="Arial Narrow" w:hAnsi="Arial Narrow"/>
          <w:sz w:val="26"/>
          <w:szCs w:val="26"/>
        </w:rPr>
        <w:t>que gestionarán un proyecto piloto de implantación de un</w:t>
      </w:r>
      <w:r>
        <w:rPr>
          <w:rStyle w:val="Strong"/>
          <w:rFonts w:cs="Arial Narrow" w:ascii="Arial Narrow" w:hAnsi="Arial Narrow"/>
          <w:b w:val="false"/>
          <w:bCs w:val="false"/>
          <w:sz w:val="26"/>
          <w:szCs w:val="26"/>
        </w:rPr>
        <w:t xml:space="preserve"> sistema de triaje y cita previa multicanal</w:t>
      </w:r>
      <w:r>
        <w:rPr>
          <w:rFonts w:cs="Arial Narrow" w:ascii="Arial Narrow" w:hAnsi="Arial Narrow"/>
          <w:sz w:val="26"/>
          <w:szCs w:val="26"/>
        </w:rPr>
        <w:t>.</w:t>
      </w:r>
      <w:bookmarkStart w:id="0" w:name="_GoBack"/>
      <w:bookmarkEnd w:id="0"/>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cs="Arial Narrow" w:ascii="Arial Narrow" w:hAnsi="Arial Narrow"/>
          <w:sz w:val="26"/>
          <w:szCs w:val="26"/>
        </w:rPr>
        <w:t xml:space="preserve">En materia de Personal, destacar la inversión de 416.708 euros que permitirá que </w:t>
      </w:r>
      <w:r>
        <w:rPr>
          <w:rStyle w:val="Strong"/>
          <w:rFonts w:cs="Arial Narrow" w:ascii="Arial Narrow" w:hAnsi="Arial Narrow"/>
          <w:b w:val="false"/>
          <w:bCs w:val="false"/>
          <w:sz w:val="26"/>
          <w:szCs w:val="26"/>
        </w:rPr>
        <w:t>12 funcionarios interinos continúen prestando sus servicios</w:t>
      </w:r>
      <w:r>
        <w:rPr>
          <w:rFonts w:cs="Arial Narrow" w:ascii="Arial Narrow" w:hAnsi="Arial Narrow"/>
          <w:sz w:val="26"/>
          <w:szCs w:val="26"/>
        </w:rPr>
        <w:t xml:space="preserve"> durante 2024 en la Delegación de Inclusión Social; y la incorporación de tres profesionales gracias a la Ley de Protección Integral de la Infancia Frente a la Violencia.</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pPr>
      <w:r>
        <w:rPr>
          <w:rStyle w:val="Strong"/>
          <w:rFonts w:cs="Arial Narrow" w:ascii="Arial Narrow" w:hAnsi="Arial Narrow"/>
          <w:b w:val="false"/>
          <w:bCs w:val="false"/>
          <w:color w:val="000000"/>
          <w:sz w:val="26"/>
          <w:szCs w:val="26"/>
        </w:rPr>
        <w:t>Entre los logros alcanzados en este semestre, Yessika Quintero ha destacado la firma del convenio laboral del Servicio de Ayuda a Domicilio</w:t>
      </w:r>
      <w:r>
        <w:rPr>
          <w:rFonts w:cs="Arial Narrow" w:ascii="Arial Narrow" w:hAnsi="Arial Narrow"/>
          <w:color w:val="000000"/>
          <w:sz w:val="26"/>
          <w:szCs w:val="26"/>
        </w:rPr>
        <w:t>.</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sz w:val="26"/>
          <w:szCs w:val="26"/>
        </w:rPr>
      </w:pPr>
      <w:r>
        <w:rPr>
          <w:rFonts w:cs="Arial Narrow" w:ascii="Arial Narrow" w:hAnsi="Arial Narrow"/>
          <w:sz w:val="26"/>
          <w:szCs w:val="26"/>
        </w:rPr>
        <w:t xml:space="preserve">Desde los servicios sociales en este semestre se ha atendido a 10.576 familias, y 40.187 usuarios. Entre julio y diciembre se han concedido 13.910 ayudas sociales en metálico, por un importe de </w:t>
      </w:r>
      <w:r>
        <w:rPr>
          <w:rFonts w:cs="Arial Narrow" w:ascii="Arial Narrow" w:hAnsi="Arial Narrow"/>
          <w:kern w:val="0"/>
          <w:sz w:val="26"/>
          <w:szCs w:val="26"/>
          <w:lang w:eastAsia="es-ES"/>
        </w:rPr>
        <w:t xml:space="preserve">1.802.289 euros; y 15.664 ayudas en especie, valoradas en 222.318 euros. </w:t>
      </w:r>
      <w:r>
        <w:rPr>
          <w:rFonts w:cs="Arial Narrow" w:ascii="Arial Narrow" w:hAnsi="Arial Narrow"/>
          <w:sz w:val="26"/>
          <w:szCs w:val="26"/>
        </w:rPr>
        <w:t xml:space="preserve">Actualmente el Centro municipal de alimentos está atendiendo rotatoriamente a cerca de 649 familias y unos 2.010 beneficiarios han sido gracias al Programa de ayuda alimentaria a las personas más desfavorecidas FEAD 2023.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Arial Narrow" w:ascii="Arial Narrow" w:hAnsi="Arial Narrow"/>
          <w:sz w:val="26"/>
          <w:szCs w:val="26"/>
        </w:rPr>
        <w:t xml:space="preserve">Inclusión social está trabajando con la Red de Integración Social en la puesta en marcha del proyecto de Puerta Única, y se ha elaborado un primer documento que pueda recoger todos los perfiles y situaciones a las que se pretende dar una respuesta más eficaz. </w:t>
      </w:r>
    </w:p>
    <w:p>
      <w:pPr>
        <w:pStyle w:val="Normal"/>
        <w:jc w:val="both"/>
        <w:rPr>
          <w:rStyle w:val="Strong"/>
          <w:rFonts w:ascii="Arial Narrow" w:hAnsi="Arial Narrow" w:cs="Arial Narrow"/>
          <w:b w:val="false"/>
          <w:bCs w:val="false"/>
          <w:color w:val="000000"/>
          <w:sz w:val="26"/>
          <w:szCs w:val="26"/>
        </w:rPr>
      </w:pPr>
      <w:r>
        <w:rPr>
          <w:rFonts w:cs="Arial Narrow" w:ascii="Arial Narrow" w:hAnsi="Arial Narrow"/>
          <w:b w:val="false"/>
          <w:bCs w:val="false"/>
          <w:color w:val="000000"/>
          <w:sz w:val="26"/>
          <w:szCs w:val="26"/>
        </w:rPr>
      </w:r>
    </w:p>
    <w:p>
      <w:pPr>
        <w:pStyle w:val="Normal"/>
        <w:jc w:val="both"/>
        <w:rPr/>
      </w:pPr>
      <w:r>
        <w:rPr>
          <w:rStyle w:val="Strong"/>
          <w:rFonts w:cs="Arial Narrow" w:ascii="Arial Narrow" w:hAnsi="Arial Narrow"/>
          <w:color w:val="000000"/>
          <w:sz w:val="26"/>
          <w:szCs w:val="26"/>
        </w:rPr>
        <w:t>Protagonismo ciudadano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Style w:val="Strong"/>
          <w:rFonts w:cs="Arial Narrow" w:ascii="Arial Narrow" w:hAnsi="Arial Narrow"/>
          <w:b w:val="false"/>
          <w:bCs w:val="false"/>
          <w:color w:val="000000"/>
          <w:sz w:val="26"/>
          <w:szCs w:val="26"/>
        </w:rPr>
        <w:t xml:space="preserve">La delegada de Participación Ciudadana y Juventud, Carmen Pina ha destacado el compromiso municipal para fomentar un contacto muy estrecho entre el Gobierno y el tejido vecinal en todos los temas que afectan al bienestar de las familias. </w:t>
      </w:r>
      <w:r>
        <w:rPr>
          <w:rFonts w:ascii="Arial Narrow" w:hAnsi="Arial Narrow"/>
          <w:sz w:val="26"/>
          <w:szCs w:val="26"/>
        </w:rPr>
        <w:t xml:space="preserve">La delegada ha destacado que </w:t>
      </w:r>
      <w:r>
        <w:rPr>
          <w:rFonts w:cs="Arial Narrow" w:ascii="Arial Narrow" w:hAnsi="Arial Narrow"/>
          <w:color w:val="000000"/>
          <w:sz w:val="26"/>
          <w:szCs w:val="26"/>
        </w:rPr>
        <w:t>se ha iniciado un trabajo importante en lo referente a la actualización del Reglamento Orgánico de Participación Ciudadana, para adaptarlo a la Ley Andaluza.</w:t>
      </w:r>
    </w:p>
    <w:p>
      <w:pPr>
        <w:pStyle w:val="Normal"/>
        <w:jc w:val="both"/>
        <w:rPr>
          <w:rFonts w:cs="Arial Narrow"/>
          <w:color w:val="000000"/>
        </w:rPr>
      </w:pPr>
      <w:r>
        <w:rPr>
          <w:rFonts w:cs="Arial Narrow"/>
          <w:color w:val="000000"/>
        </w:rPr>
      </w:r>
    </w:p>
    <w:p>
      <w:pPr>
        <w:pStyle w:val="Normal"/>
        <w:jc w:val="both"/>
        <w:rPr>
          <w:rFonts w:ascii="Arial Narrow" w:hAnsi="Arial Narrow" w:cs="Arial Narrow"/>
          <w:color w:val="000000"/>
          <w:kern w:val="0"/>
          <w:sz w:val="26"/>
          <w:szCs w:val="26"/>
          <w:lang w:eastAsia="es-ES"/>
        </w:rPr>
      </w:pPr>
      <w:r>
        <w:rPr>
          <w:rFonts w:cs="Arial Narrow" w:ascii="Arial Narrow" w:hAnsi="Arial Narrow"/>
          <w:color w:val="000000"/>
          <w:sz w:val="26"/>
          <w:szCs w:val="26"/>
        </w:rPr>
        <w:t xml:space="preserve">En este primer semestre de legislatura se han contabilizado más de 800 atenciones por parte del departamento de Participación, Cooperación y Voluntariado. Se han contabilizado 16 nuevas altas en el Registro Municipal de Entidades. </w:t>
      </w:r>
    </w:p>
    <w:p>
      <w:pPr>
        <w:pStyle w:val="Normal"/>
        <w:jc w:val="both"/>
        <w:rPr>
          <w:rFonts w:ascii="Arial Narrow" w:hAnsi="Arial Narrow" w:cs="Arial Narrow"/>
          <w:color w:val="000000"/>
          <w:sz w:val="26"/>
          <w:szCs w:val="26"/>
        </w:rPr>
      </w:pPr>
      <w:r>
        <w:rPr>
          <w:rFonts w:cs="Arial Narrow" w:ascii="Arial Narrow" w:hAnsi="Arial Narrow"/>
          <w:color w:val="000000"/>
          <w:sz w:val="26"/>
          <w:szCs w:val="26"/>
        </w:rPr>
      </w:r>
    </w:p>
    <w:p>
      <w:pPr>
        <w:pStyle w:val="Normal"/>
        <w:jc w:val="both"/>
        <w:rPr>
          <w:rFonts w:ascii="Arial Narrow" w:hAnsi="Arial Narrow" w:cs="Arial Narrow"/>
          <w:color w:val="000000"/>
          <w:sz w:val="26"/>
          <w:szCs w:val="26"/>
        </w:rPr>
      </w:pPr>
      <w:r>
        <w:rPr>
          <w:rFonts w:cs="Arial Narrow" w:ascii="Arial Narrow" w:hAnsi="Arial Narrow"/>
          <w:color w:val="000000"/>
          <w:sz w:val="26"/>
          <w:szCs w:val="26"/>
        </w:rPr>
        <w:t>En el segundo semestre de 2023, las Oficinas Técnicas de Distrito (Norte, Oeste, Sur, Noreste y Este) han atendido un total de 11.341 gestiones, tanto certificados de empadronamientos, compulsas, registros de entrada, validaciones de firmas digitales, etcétera. Desde las oficinas de los distritos, se han gestionado en torno a 450 demandas, que se tramitan con las delegaciones correspondientes, haciendo el seguimiento de cada una de ellas.</w:t>
      </w:r>
    </w:p>
    <w:p>
      <w:pPr>
        <w:pStyle w:val="Normal"/>
        <w:jc w:val="both"/>
        <w:rPr>
          <w:rFonts w:ascii="Arial Narrow" w:hAnsi="Arial Narrow" w:cs="Arial Narrow"/>
          <w:color w:val="000000"/>
          <w:sz w:val="26"/>
          <w:szCs w:val="26"/>
        </w:rPr>
      </w:pPr>
      <w:r>
        <w:rPr>
          <w:rFonts w:cs="Arial Narrow" w:ascii="Arial Narrow" w:hAnsi="Arial Narrow"/>
          <w:color w:val="000000"/>
          <w:sz w:val="26"/>
          <w:szCs w:val="26"/>
        </w:rPr>
      </w:r>
    </w:p>
    <w:p>
      <w:pPr>
        <w:pStyle w:val="Normal"/>
        <w:jc w:val="both"/>
        <w:rPr>
          <w:rFonts w:ascii="Arial Narrow" w:hAnsi="Arial Narrow" w:cs="Arial Narrow"/>
          <w:color w:val="000000"/>
          <w:sz w:val="26"/>
          <w:szCs w:val="26"/>
        </w:rPr>
      </w:pPr>
      <w:r>
        <w:rPr>
          <w:rFonts w:cs="Arial Narrow" w:ascii="Arial Narrow" w:hAnsi="Arial Narrow"/>
          <w:color w:val="000000"/>
          <w:sz w:val="26"/>
          <w:szCs w:val="26"/>
        </w:rPr>
        <w:t>Con respecto al Voluntariado, se ha impulsado como novedad un Encuentro de Voluntariado con ponentes de primer nivel, que contó con la participación de 28 entidades y más de un centenar de participantes. Se ha renovado la composición del Consejo Local de Voluntariado, desde el compromiso de seguir trabajando en coordinación con un órgano activo e implicado. También cabe destacar la aprobación en Pleno de la composición de los Consejos Territoriales de Distritos Urbanos.</w:t>
      </w:r>
    </w:p>
    <w:p>
      <w:pPr>
        <w:pStyle w:val="Normal"/>
        <w:jc w:val="both"/>
        <w:rPr>
          <w:rFonts w:cs="Arial Narrow"/>
          <w:color w:val="000000"/>
        </w:rPr>
      </w:pPr>
      <w:r>
        <w:rPr>
          <w:rFonts w:cs="Arial Narrow"/>
          <w:color w:val="000000"/>
        </w:rPr>
      </w:r>
    </w:p>
    <w:p>
      <w:pPr>
        <w:pStyle w:val="Normal"/>
        <w:jc w:val="both"/>
        <w:rPr>
          <w:rFonts w:ascii="Arial Narrow" w:hAnsi="Arial Narrow" w:cs="Arial Narrow"/>
          <w:color w:val="000000"/>
          <w:sz w:val="26"/>
          <w:szCs w:val="26"/>
        </w:rPr>
      </w:pPr>
      <w:r>
        <w:rPr>
          <w:rFonts w:cs="Arial Narrow" w:ascii="Arial Narrow" w:hAnsi="Arial Narrow"/>
          <w:color w:val="000000"/>
          <w:sz w:val="26"/>
          <w:szCs w:val="26"/>
        </w:rPr>
        <w:t xml:space="preserve">En cuanto al área de Juventud, y en referencia a la participación joven, se ha apostado por dar un paso al frente con la creación de la Mesa Local de Juventud, y para ello se está trabajando con las entidades que forman parte de la Comisión de Juventud para configurar el Reglamento de la Mesa Local de Juventud. Pina ha destacado </w:t>
      </w:r>
      <w:r>
        <w:rPr>
          <w:rFonts w:eastAsia="Tahoma" w:cs="Arial Narrow" w:ascii="Arial Narrow" w:hAnsi="Arial Narrow"/>
          <w:color w:val="000000"/>
          <w:sz w:val="26"/>
          <w:szCs w:val="26"/>
        </w:rPr>
        <w:t>la celebración del Amalgama Fest, un encuentro con 500 participantes, y que contó tanto con mesas de trabajo, como talleres, como música en directo.</w:t>
      </w:r>
    </w:p>
    <w:p>
      <w:pPr>
        <w:pStyle w:val="Normal"/>
        <w:jc w:val="both"/>
        <w:rPr>
          <w:rFonts w:ascii="Arial Narrow" w:hAnsi="Arial Narrow" w:cs="Arial Narrow"/>
          <w:color w:val="000000"/>
          <w:sz w:val="26"/>
          <w:szCs w:val="26"/>
        </w:rPr>
      </w:pPr>
      <w:r>
        <w:rPr>
          <w:rFonts w:cs="Arial Narrow" w:ascii="Arial Narrow" w:hAnsi="Arial Narrow"/>
          <w:color w:val="000000"/>
          <w:sz w:val="26"/>
          <w:szCs w:val="26"/>
        </w:rPr>
      </w:r>
    </w:p>
    <w:p>
      <w:pPr>
        <w:pStyle w:val="Normal"/>
        <w:jc w:val="both"/>
        <w:rPr>
          <w:rFonts w:ascii="Arial Narrow" w:hAnsi="Arial Narrow"/>
          <w:sz w:val="26"/>
          <w:szCs w:val="26"/>
        </w:rPr>
      </w:pPr>
      <w:r>
        <w:rPr>
          <w:rFonts w:eastAsia="Tahoma" w:cs="Arial Narrow" w:ascii="Arial Narrow" w:hAnsi="Arial Narrow"/>
          <w:color w:val="000000"/>
          <w:sz w:val="26"/>
          <w:szCs w:val="26"/>
        </w:rPr>
        <w:t xml:space="preserve">Con respecto a actividades novedosas, destacar la Sala de Estudio de la Sala Paúl en julio y agosto con un respaldo importante de 400 estudiantes. La temporada de otoño dio inicio con el concierto de un artista jerezano tan reconocido como </w:t>
      </w:r>
      <w:r>
        <w:rPr>
          <w:rFonts w:eastAsia="Tahoma" w:cs="Arial Narrow" w:ascii="Arial Narrow" w:hAnsi="Arial Narrow"/>
          <w:sz w:val="26"/>
          <w:szCs w:val="26"/>
        </w:rPr>
        <w:t>Ghouljaboy, con 400 asistentes; este año se ha innovado con una actividad de la mano con el emprendimiento joven, con el Rabanito Festival; y la Sala Paúl ha vuelto a acoger un evento consolidado como es el Vente pa´Jerez, también con aforo completo.</w:t>
      </w:r>
    </w:p>
    <w:p>
      <w:pPr>
        <w:pStyle w:val="Normal"/>
        <w:jc w:val="both"/>
        <w:rPr>
          <w:rFonts w:ascii="Arial Narrow" w:hAnsi="Arial Narrow" w:cs="Arial Narrow"/>
          <w:color w:val="000000"/>
          <w:sz w:val="26"/>
          <w:szCs w:val="26"/>
        </w:rPr>
      </w:pPr>
      <w:r>
        <w:rPr>
          <w:rFonts w:cs="Arial Narrow" w:ascii="Arial Narrow" w:hAnsi="Arial Narrow"/>
          <w:color w:val="000000"/>
          <w:sz w:val="26"/>
          <w:szCs w:val="26"/>
        </w:rPr>
      </w:r>
    </w:p>
    <w:p>
      <w:pPr>
        <w:pStyle w:val="Normal"/>
        <w:jc w:val="both"/>
        <w:rPr/>
      </w:pPr>
      <w:r>
        <w:rPr>
          <w:rFonts w:eastAsia="Tahoma" w:cs="Arial Narrow" w:ascii="Arial Narrow" w:hAnsi="Arial Narrow"/>
          <w:sz w:val="26"/>
          <w:szCs w:val="26"/>
        </w:rPr>
        <w:t xml:space="preserve">Como actividad destacada por la asistencia de público, recordar el Pasaje del Terror, con 1.500 participantes; y el Desfile de Halloween por el centro de la ciudad. El año culminaba con dos eventos muy especiales, el certamen 6 Grupos 6, que en las diferentes sesiones ha reunido a más de mil espectadores, y el evento solidario Antes de Navidad, también con aforo completo. </w:t>
      </w:r>
      <w:r>
        <w:rPr>
          <w:rFonts w:eastAsia="Tahoma" w:cs="Arial" w:ascii="Arial Narrow" w:hAnsi="Arial Narrow"/>
          <w:sz w:val="26"/>
          <w:szCs w:val="26"/>
        </w:rPr>
        <w:t>En estos seis meses 14 entidades han disfrutado de un uso continuado de las tres salas polivalentes de la Sala Paúl y 28 entidades han solicitado el auditorio para la celebración de eventos de interés juvenil, educativo y cultural, con un total de 13.670 participantes en el total de eventos acogidos en la Sala Paúl.</w:t>
      </w:r>
    </w:p>
    <w:p>
      <w:pPr>
        <w:pStyle w:val="Normal"/>
        <w:jc w:val="both"/>
        <w:rPr>
          <w:rFonts w:ascii="Arial Narrow" w:hAnsi="Arial Narrow" w:cs="Arial Narrow"/>
          <w:color w:val="000000"/>
          <w:sz w:val="26"/>
          <w:szCs w:val="26"/>
        </w:rPr>
      </w:pPr>
      <w:r>
        <w:rPr>
          <w:rFonts w:cs="Arial Narrow" w:ascii="Arial Narrow" w:hAnsi="Arial Narrow"/>
          <w:color w:val="000000"/>
          <w:sz w:val="26"/>
          <w:szCs w:val="26"/>
        </w:rPr>
      </w:r>
    </w:p>
    <w:p>
      <w:pPr>
        <w:pStyle w:val="Normal"/>
        <w:jc w:val="both"/>
        <w:rPr>
          <w:rFonts w:ascii="Arial Narrow" w:hAnsi="Arial Narrow" w:eastAsia="Tahoma" w:cs="Arial Narrow"/>
          <w:sz w:val="26"/>
          <w:szCs w:val="26"/>
        </w:rPr>
      </w:pPr>
      <w:r>
        <w:rPr>
          <w:rFonts w:eastAsia="Tahoma" w:cs="Arial Narrow" w:ascii="Arial Narrow" w:hAnsi="Arial Narrow"/>
          <w:sz w:val="26"/>
          <w:szCs w:val="26"/>
        </w:rPr>
        <w:t xml:space="preserve">En cuanto a la Oficina de Información Juvenil, en estos seis meses ha tramitado 391 Carnet Joven Europeo y 106 inscripciones en el Sistema Nacional de Garantía Juvenil. </w:t>
      </w:r>
    </w:p>
    <w:p>
      <w:pPr>
        <w:pStyle w:val="Normal"/>
        <w:jc w:val="both"/>
        <w:rPr>
          <w:rFonts w:ascii="Arial Narrow" w:hAnsi="Arial Narrow" w:eastAsia="Tahoma" w:cs="Arial Narrow"/>
          <w:sz w:val="26"/>
          <w:szCs w:val="26"/>
        </w:rPr>
      </w:pPr>
      <w:r>
        <w:rPr>
          <w:rFonts w:eastAsia="Tahoma" w:cs="Arial Narrow" w:ascii="Arial Narrow" w:hAnsi="Arial Narrow"/>
          <w:sz w:val="26"/>
          <w:szCs w:val="26"/>
        </w:rPr>
      </w:r>
    </w:p>
    <w:p>
      <w:pPr>
        <w:pStyle w:val="Normal"/>
        <w:jc w:val="both"/>
        <w:rPr>
          <w:rFonts w:ascii="Arial Narrow" w:hAnsi="Arial Narrow" w:eastAsia="Tahoma" w:cs="Arial Narrow"/>
          <w:sz w:val="26"/>
          <w:szCs w:val="26"/>
        </w:rPr>
      </w:pPr>
      <w:r>
        <w:rPr>
          <w:rFonts w:eastAsia="Tahoma" w:cs="Arial Narrow" w:ascii="Arial Narrow" w:hAnsi="Arial Narrow"/>
          <w:sz w:val="26"/>
          <w:szCs w:val="26"/>
        </w:rPr>
        <w:t>En este 2024, Juventud ha dado un nuevo impulso al programa Spress’Arte, con el que ofrecerá nuevas líneas de colaboración con los artistas del graffiti, que en los últimos meses han tenido un protagonismo especial demostrando su arte en diferentes puntos de la ciudad.</w:t>
      </w:r>
    </w:p>
    <w:p>
      <w:pPr>
        <w:pStyle w:val="Normal"/>
        <w:jc w:val="both"/>
        <w:rPr>
          <w:rFonts w:ascii="Arial Narrow" w:hAnsi="Arial Narrow" w:eastAsia="Tahoma" w:cs="Arial Narrow"/>
          <w:sz w:val="26"/>
          <w:szCs w:val="26"/>
        </w:rPr>
      </w:pPr>
      <w:r>
        <w:rPr>
          <w:rFonts w:eastAsia="Tahoma" w:cs="Arial Narrow" w:ascii="Arial Narrow" w:hAnsi="Arial Narrow"/>
          <w:sz w:val="26"/>
          <w:szCs w:val="26"/>
        </w:rPr>
      </w:r>
    </w:p>
    <w:p>
      <w:pPr>
        <w:pStyle w:val="Normal"/>
        <w:jc w:val="both"/>
        <w:rPr/>
      </w:pPr>
      <w:r>
        <w:rPr>
          <w:rFonts w:eastAsia="Tahoma" w:cs="Arial" w:ascii="Arial Narrow" w:hAnsi="Arial Narrow"/>
          <w:sz w:val="26"/>
          <w:szCs w:val="26"/>
        </w:rPr>
        <w:t>Se adjunta fotografía y enlaces de audio correspondientes a las intervenciones de Susana Sánchez</w:t>
      </w:r>
    </w:p>
    <w:p>
      <w:pPr>
        <w:pStyle w:val="Normal"/>
        <w:jc w:val="both"/>
        <w:rPr/>
      </w:pPr>
      <w:hyperlink r:id="rId2">
        <w:r>
          <w:rPr>
            <w:rStyle w:val="Hyperlink"/>
          </w:rPr>
          <w:t>https://ssweb.seap.minhap.es/almacen/descarga/envio/fa41933d524c44a31a83be9f6583441befa19e15</w:t>
        </w:r>
      </w:hyperlink>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Yessika Quintero</w:t>
      </w:r>
    </w:p>
    <w:p>
      <w:pPr>
        <w:pStyle w:val="Normal"/>
        <w:jc w:val="both"/>
        <w:rPr>
          <w:rFonts w:ascii="Arial Narrow" w:hAnsi="Arial Narrow" w:eastAsia="Tahoma" w:cs="Arial"/>
          <w:sz w:val="26"/>
          <w:szCs w:val="26"/>
        </w:rPr>
      </w:pPr>
      <w:hyperlink r:id="rId3">
        <w:r>
          <w:rPr>
            <w:rStyle w:val="Hyperlink"/>
            <w:rFonts w:eastAsia="Tahoma" w:cs="Arial" w:ascii="Arial Narrow" w:hAnsi="Arial Narrow"/>
            <w:sz w:val="26"/>
            <w:szCs w:val="26"/>
          </w:rPr>
          <w:t>https://ssweb.seap.minhap.es/almacen/descarga/envio/497ecb2fd694c3f7d79acf9a82d68fd4423c0d19</w:t>
        </w:r>
      </w:hyperlink>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Carmen Pina</w:t>
      </w:r>
    </w:p>
    <w:p>
      <w:pPr>
        <w:pStyle w:val="Normal"/>
        <w:jc w:val="both"/>
        <w:rPr>
          <w:rFonts w:ascii="Arial Narrow" w:hAnsi="Arial Narrow" w:eastAsia="Tahoma" w:cs="Arial"/>
          <w:sz w:val="26"/>
          <w:szCs w:val="26"/>
        </w:rPr>
      </w:pPr>
      <w:hyperlink r:id="rId4">
        <w:r>
          <w:rPr>
            <w:rStyle w:val="Hyperlink"/>
            <w:rFonts w:eastAsia="Tahoma" w:cs="Arial" w:ascii="Arial Narrow" w:hAnsi="Arial Narrow"/>
            <w:sz w:val="26"/>
            <w:szCs w:val="26"/>
          </w:rPr>
          <w:t>https://ssweb.seap.minhap.es/almacen/descarga/envio/4d76bffa1bca646b9169f4ae70a224ebdd802644</w:t>
        </w:r>
      </w:hyperlink>
    </w:p>
    <w:p>
      <w:pPr>
        <w:pStyle w:val="Normal"/>
        <w:jc w:val="both"/>
        <w:rPr>
          <w:rFonts w:ascii="Arial Narrow" w:hAnsi="Arial Narrow" w:eastAsia="Tahoma" w:cs="Arial"/>
          <w:sz w:val="26"/>
          <w:szCs w:val="26"/>
        </w:rPr>
      </w:pPr>
      <w:r>
        <w:rPr>
          <w:rFonts w:eastAsia="Tahoma" w:cs="Arial" w:ascii="Arial Narrow" w:hAnsi="Arial Narrow"/>
          <w:sz w:val="26"/>
          <w:szCs w:val="26"/>
        </w:rPr>
      </w:r>
    </w:p>
    <w:sectPr>
      <w:headerReference w:type="default" r:id="rId5"/>
      <w:footerReference w:type="default" r:id="rId6"/>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9">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1"/>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fa41933d524c44a31a83be9f6583441befa19e15" TargetMode="External"/><Relationship Id="rId3" Type="http://schemas.openxmlformats.org/officeDocument/2006/relationships/hyperlink" Target="https://ssweb.seap.minhap.es/almacen/descarga/envio/497ecb2fd694c3f7d79acf9a82d68fd4423c0d19" TargetMode="External"/><Relationship Id="rId4" Type="http://schemas.openxmlformats.org/officeDocument/2006/relationships/hyperlink" Target="https://ssweb.seap.minhap.es/almacen/descarga/envio/4d76bffa1bca646b9169f4ae70a224ebdd802644"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283</TotalTime>
  <Application>LibreOffice/7.6.0.3$Windows_X86_64 LibreOffice_project/69edd8b8ebc41d00b4de3915dc82f8f0fc3b6265</Application>
  <AppVersion>15.0000</AppVersion>
  <Pages>4</Pages>
  <Words>1518</Words>
  <Characters>8164</Characters>
  <CharactersWithSpaces>9660</CharactersWithSpaces>
  <Paragraphs>31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2023-10-11T07:08:00Z</cp:lastPrinted>
  <dcterms:modified xsi:type="dcterms:W3CDTF">2024-02-27T12:35:25Z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