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4CB5" w:rsidRDefault="00844E18">
      <w:pPr>
        <w:pStyle w:val="Textoindependiente"/>
        <w:spacing w:before="280" w:after="280" w:line="240" w:lineRule="auto"/>
      </w:pPr>
      <w:r>
        <w:rPr>
          <w:rFonts w:ascii="Arial Narrow" w:hAnsi="Arial Narrow" w:cs="Gadugi"/>
          <w:b/>
          <w:bCs/>
          <w:sz w:val="40"/>
          <w:szCs w:val="40"/>
        </w:rPr>
        <w:t>El Pleno aprueba la aceptación de la titularidad del tramo entre la rotonda de Michelín y el acceso a la AP-4 que se convertirá en vía urbana</w:t>
      </w:r>
    </w:p>
    <w:p w:rsidR="00BB4CB5" w:rsidRDefault="00844E18">
      <w:pPr>
        <w:pStyle w:val="Textoindependiente"/>
        <w:spacing w:before="280" w:after="280" w:line="240" w:lineRule="auto"/>
        <w:rPr>
          <w:rFonts w:ascii="Arial Narrow" w:hAnsi="Arial Narrow"/>
          <w:sz w:val="32"/>
          <w:szCs w:val="32"/>
        </w:rPr>
      </w:pPr>
      <w:r>
        <w:rPr>
          <w:rFonts w:ascii="Arial Narrow" w:hAnsi="Arial Narrow" w:cs="Gadugi"/>
          <w:sz w:val="32"/>
          <w:szCs w:val="32"/>
        </w:rPr>
        <w:t>La Corporación Municipal guarda un minuto de silencio por las mujeres asesinadas en los últimos días por violencia de género y las dos niñas asesinadas en Murcia víctimas de violencia vicaria</w:t>
      </w:r>
    </w:p>
    <w:p w:rsidR="00BB4CB5" w:rsidRDefault="00637149">
      <w:pPr>
        <w:pStyle w:val="Textoindependiente"/>
        <w:spacing w:before="280" w:after="280" w:line="240" w:lineRule="auto"/>
        <w:jc w:val="both"/>
        <w:rPr>
          <w:rFonts w:ascii="Arial Narrow" w:hAnsi="Arial Narrow"/>
          <w:sz w:val="26"/>
          <w:szCs w:val="26"/>
        </w:rPr>
      </w:pPr>
      <w:r>
        <w:rPr>
          <w:rFonts w:ascii="Arial Narrow" w:hAnsi="Arial Narrow" w:cs="Gadugi"/>
          <w:b/>
          <w:bCs/>
          <w:sz w:val="26"/>
          <w:szCs w:val="26"/>
        </w:rPr>
        <w:t>22</w:t>
      </w:r>
      <w:bookmarkStart w:id="0" w:name="_GoBack"/>
      <w:bookmarkEnd w:id="0"/>
      <w:r w:rsidR="00844E18">
        <w:rPr>
          <w:rFonts w:ascii="Arial Narrow" w:hAnsi="Arial Narrow" w:cs="Gadugi"/>
          <w:b/>
          <w:bCs/>
          <w:sz w:val="26"/>
          <w:szCs w:val="26"/>
        </w:rPr>
        <w:t xml:space="preserve"> de marzo de 2024.</w:t>
      </w:r>
      <w:r w:rsidR="00844E18">
        <w:rPr>
          <w:rFonts w:ascii="Arial Narrow" w:hAnsi="Arial Narrow" w:cs="Gadugi"/>
          <w:sz w:val="26"/>
          <w:szCs w:val="26"/>
        </w:rPr>
        <w:t xml:space="preserve"> El Pleno municipal, presidido por la alcaldesa, María José García-Pelayo, ha iniciado la sesión ordinaria de marzo guardando un minuto de silencio por las mujeres asesinadas en los últimos días por violencia de género, y por las dos niñas fallecidas en Murcia víctimas de violencia vicaria.</w:t>
      </w:r>
    </w:p>
    <w:p w:rsidR="00BB4CB5" w:rsidRDefault="00844E18">
      <w:pPr>
        <w:pStyle w:val="Textoindependiente"/>
        <w:spacing w:before="280" w:after="280" w:line="240" w:lineRule="auto"/>
        <w:jc w:val="both"/>
      </w:pPr>
      <w:r>
        <w:rPr>
          <w:rFonts w:ascii="Arial Narrow" w:hAnsi="Arial Narrow" w:cs="Gadugi"/>
          <w:sz w:val="26"/>
          <w:szCs w:val="26"/>
        </w:rPr>
        <w:t xml:space="preserve">Como primer punto destacado del orden del día, el Pleno ha manifestado su  conformidad, con el voto unánime de todos los grupos, al proyecto elaborado y remitido por la Unidad de Carreteras de Cádiz, de construcción del carril bici y de mejora de la seguridad vial en la carretera NR-4, entre los km 0 al 1,250, y ha aprobado la aceptación de la titularidad de estos terrenos, una vez ejecutadas las citadas obras y recibidas formalmente las obras por la Administración de Carreteras. </w:t>
      </w:r>
    </w:p>
    <w:p w:rsidR="00BB4CB5" w:rsidRDefault="00844E18">
      <w:pPr>
        <w:jc w:val="both"/>
        <w:rPr>
          <w:rFonts w:ascii="Arial Narrow" w:hAnsi="Arial Narrow"/>
          <w:sz w:val="26"/>
          <w:szCs w:val="26"/>
        </w:rPr>
      </w:pPr>
      <w:r>
        <w:rPr>
          <w:rFonts w:ascii="Arial Narrow" w:eastAsia="Arial" w:hAnsi="Arial Narrow" w:cs="Arial"/>
          <w:spacing w:val="-3"/>
          <w:sz w:val="26"/>
          <w:szCs w:val="26"/>
          <w:lang w:val="es-ES_tradnl"/>
        </w:rPr>
        <w:t>La delegada de Urbanismo, Belén de la Cuadra, ha recordado que el Ministerio de Transportes, Movilidad y Agenda Urbana, a través de la Unidad de Carreteras de Cádiz, puso en conocimiento de este Ayuntamiento que, mediante Resolución de la Dirección General de Carreteras de fecha 23 de agosto de 2022, se aprobó la orden de estudio para la redacción de este proyecto, que abarca el tramo que discurre entre la rotonda del Michelín y la de acceso a la autopista .</w:t>
      </w:r>
    </w:p>
    <w:p w:rsidR="00BB4CB5" w:rsidRDefault="00BB4CB5">
      <w:pPr>
        <w:jc w:val="both"/>
        <w:rPr>
          <w:rFonts w:ascii="Arial Narrow" w:eastAsia="Arial" w:hAnsi="Arial Narrow" w:cs="Arial"/>
          <w:spacing w:val="-3"/>
          <w:sz w:val="26"/>
          <w:szCs w:val="26"/>
          <w:lang w:val="es-ES_tradnl"/>
        </w:rPr>
      </w:pPr>
    </w:p>
    <w:p w:rsidR="00BB4CB5" w:rsidRDefault="00844E18">
      <w:pPr>
        <w:tabs>
          <w:tab w:val="left" w:pos="-720"/>
        </w:tabs>
        <w:jc w:val="both"/>
        <w:rPr>
          <w:rFonts w:ascii="Arial Narrow" w:hAnsi="Arial Narrow"/>
          <w:sz w:val="26"/>
          <w:szCs w:val="26"/>
        </w:rPr>
      </w:pPr>
      <w:r>
        <w:rPr>
          <w:rFonts w:ascii="Arial Narrow" w:hAnsi="Arial Narrow" w:cs="Arial"/>
          <w:spacing w:val="-3"/>
          <w:sz w:val="26"/>
          <w:szCs w:val="26"/>
          <w:lang w:val="es-ES_tradnl"/>
        </w:rPr>
        <w:t>Tal y como ha explicado, el proyecto comprende la ejecución de obras para la mejora en la calzada existente, así como la construcción de un carril bici y sendos acerados perimetrales, ocupando todo ello una anchura de 21 metros.</w:t>
      </w:r>
    </w:p>
    <w:p w:rsidR="00BB4CB5" w:rsidRDefault="00BB4CB5">
      <w:pPr>
        <w:tabs>
          <w:tab w:val="left" w:pos="-720"/>
        </w:tabs>
        <w:jc w:val="both"/>
        <w:rPr>
          <w:rFonts w:ascii="Arial Narrow" w:hAnsi="Arial Narrow" w:cs="Arial"/>
          <w:spacing w:val="-3"/>
          <w:sz w:val="26"/>
          <w:szCs w:val="26"/>
          <w:lang w:val="es-ES_tradnl"/>
        </w:rPr>
      </w:pPr>
    </w:p>
    <w:p w:rsidR="00BB4CB5" w:rsidRDefault="00844E18">
      <w:pPr>
        <w:tabs>
          <w:tab w:val="left" w:pos="-720"/>
        </w:tabs>
        <w:jc w:val="both"/>
        <w:rPr>
          <w:rFonts w:ascii="Arial Narrow" w:hAnsi="Arial Narrow"/>
          <w:sz w:val="26"/>
          <w:szCs w:val="26"/>
        </w:rPr>
      </w:pPr>
      <w:r>
        <w:rPr>
          <w:rFonts w:ascii="Arial Narrow" w:hAnsi="Arial Narrow" w:cs="Arial"/>
          <w:spacing w:val="-3"/>
          <w:sz w:val="26"/>
          <w:szCs w:val="26"/>
          <w:lang w:val="es-ES_tradnl"/>
        </w:rPr>
        <w:t>De esta forma, una vez ejecutadas las obras, “la ciudadanía podrá disponer del uso y disfrute del vial mejorado, junto con el nuevo carril bici y el acerado”; y con la obtención de la titularidad municipal de los terrenos -ha añadido -, dejará de estar operativa en este tramo la normativa sectorial de Carreteras, y, por tanto, los desarrollos urbanísticos de los terrenos colindantes (ARI de Caulina Norte y ARI de Caulina Sur), no se verán interferidos por esta norma”.</w:t>
      </w:r>
    </w:p>
    <w:p w:rsidR="00BB4CB5" w:rsidRDefault="00BB4CB5">
      <w:pPr>
        <w:tabs>
          <w:tab w:val="left" w:pos="-720"/>
        </w:tabs>
        <w:jc w:val="both"/>
        <w:rPr>
          <w:rFonts w:ascii="Arial Narrow" w:hAnsi="Arial Narrow" w:cs="Arial"/>
          <w:spacing w:val="-3"/>
          <w:sz w:val="26"/>
          <w:szCs w:val="26"/>
          <w:lang w:val="es-ES_tradnl"/>
        </w:rPr>
      </w:pPr>
    </w:p>
    <w:p w:rsidR="00BB4CB5" w:rsidRDefault="00844E18">
      <w:pPr>
        <w:tabs>
          <w:tab w:val="left" w:pos="-720"/>
        </w:tabs>
        <w:jc w:val="both"/>
        <w:rPr>
          <w:rFonts w:ascii="Arial Narrow" w:hAnsi="Arial Narrow"/>
          <w:sz w:val="26"/>
          <w:szCs w:val="26"/>
        </w:rPr>
      </w:pPr>
      <w:r>
        <w:rPr>
          <w:rFonts w:ascii="Arial Narrow" w:hAnsi="Arial Narrow" w:cs="Arial"/>
          <w:spacing w:val="-3"/>
          <w:sz w:val="26"/>
          <w:szCs w:val="26"/>
          <w:lang w:val="es-ES_tradnl"/>
        </w:rPr>
        <w:t>Igualmente, Belén de la Cuadra ha subrayado que la ejecución de las previsiones de ordenación urbanística establecidas en PGOU, “comportará la duplicación de los carriles, obra</w:t>
      </w:r>
      <w:r w:rsidR="00D8789C">
        <w:rPr>
          <w:rFonts w:ascii="Arial Narrow" w:hAnsi="Arial Narrow" w:cs="Arial"/>
          <w:spacing w:val="-3"/>
          <w:sz w:val="26"/>
          <w:szCs w:val="26"/>
          <w:lang w:val="es-ES_tradnl"/>
        </w:rPr>
        <w:t xml:space="preserve">s que se llevarán a cabo con </w:t>
      </w:r>
      <w:r>
        <w:rPr>
          <w:rFonts w:ascii="Arial Narrow" w:hAnsi="Arial Narrow" w:cs="Arial"/>
          <w:spacing w:val="-3"/>
          <w:sz w:val="26"/>
          <w:szCs w:val="26"/>
          <w:lang w:val="es-ES_tradnl"/>
        </w:rPr>
        <w:t xml:space="preserve">la urbanización de las citadas </w:t>
      </w:r>
      <w:r>
        <w:rPr>
          <w:rFonts w:ascii="Arial Narrow" w:hAnsi="Arial Narrow" w:cs="Arial"/>
          <w:spacing w:val="-3"/>
          <w:sz w:val="26"/>
          <w:szCs w:val="26"/>
          <w:lang w:val="es-ES_tradnl"/>
        </w:rPr>
        <w:lastRenderedPageBreak/>
        <w:t>actuaciones urbanísticas; a tales efectos debe tenerse en cuenta lo previsto en las propias fichas que contiene el PGOU en las que se establecen las condiciones para el desarrollo urbanístico de ambas actuaciones urbanísticas”.</w:t>
      </w:r>
    </w:p>
    <w:p w:rsidR="00BB4CB5" w:rsidRDefault="00BB4CB5">
      <w:pPr>
        <w:tabs>
          <w:tab w:val="left" w:pos="-720"/>
        </w:tabs>
        <w:jc w:val="both"/>
        <w:rPr>
          <w:rFonts w:ascii="Arial Narrow" w:hAnsi="Arial Narrow" w:cs="Arial"/>
          <w:spacing w:val="-3"/>
          <w:sz w:val="26"/>
          <w:szCs w:val="26"/>
          <w:lang w:val="es-ES_tradnl"/>
        </w:rPr>
      </w:pPr>
    </w:p>
    <w:p w:rsidR="00BB4CB5" w:rsidRDefault="00844E18">
      <w:pPr>
        <w:tabs>
          <w:tab w:val="left" w:pos="-720"/>
        </w:tabs>
        <w:jc w:val="both"/>
        <w:rPr>
          <w:rFonts w:ascii="Arial Narrow" w:hAnsi="Arial Narrow"/>
          <w:sz w:val="26"/>
          <w:szCs w:val="26"/>
        </w:rPr>
      </w:pPr>
      <w:r>
        <w:rPr>
          <w:rFonts w:ascii="Arial Narrow" w:hAnsi="Arial Narrow" w:cs="Arial"/>
          <w:spacing w:val="-3"/>
          <w:sz w:val="26"/>
          <w:szCs w:val="26"/>
          <w:lang w:val="es-ES_tradnl"/>
        </w:rPr>
        <w:t xml:space="preserve">Por todo ello, se ha dado el visto bueno a este proyecto, “si bien para la adecuación a la función de vía urbana de este tramo, resulta necesario que se realice la actuación correspondiente respecto a las dos franjas de terrenos situadas en los márgenes de la carretera; una actuación que deberá consistir al menos en el desbroce, limpieza y explanación/nivelación de los terrenos”, ha explicado. </w:t>
      </w:r>
    </w:p>
    <w:p w:rsidR="00BB4CB5" w:rsidRDefault="00BB4CB5">
      <w:pPr>
        <w:tabs>
          <w:tab w:val="left" w:pos="-720"/>
        </w:tabs>
        <w:jc w:val="both"/>
        <w:rPr>
          <w:rFonts w:ascii="Arial Narrow" w:hAnsi="Arial Narrow" w:cs="Arial"/>
          <w:spacing w:val="-3"/>
          <w:sz w:val="26"/>
          <w:szCs w:val="26"/>
          <w:lang w:val="es-ES_tradnl"/>
        </w:rPr>
      </w:pPr>
    </w:p>
    <w:p w:rsidR="00BB4CB5" w:rsidRDefault="00844E18">
      <w:pPr>
        <w:pStyle w:val="Textoindependiente"/>
        <w:spacing w:after="0" w:line="240" w:lineRule="auto"/>
        <w:ind w:right="-144"/>
        <w:jc w:val="both"/>
        <w:rPr>
          <w:rFonts w:ascii="Arial Narrow" w:hAnsi="Arial Narrow"/>
          <w:sz w:val="26"/>
          <w:szCs w:val="26"/>
        </w:rPr>
      </w:pPr>
      <w:r>
        <w:rPr>
          <w:rFonts w:ascii="Arial Narrow" w:hAnsi="Arial Narrow"/>
          <w:b/>
          <w:bCs/>
          <w:sz w:val="26"/>
          <w:szCs w:val="26"/>
        </w:rPr>
        <w:t>Modificación de crédito</w:t>
      </w:r>
    </w:p>
    <w:p w:rsidR="00BB4CB5" w:rsidRDefault="00BB4CB5">
      <w:pPr>
        <w:jc w:val="both"/>
        <w:rPr>
          <w:rFonts w:ascii="Arial Narrow" w:hAnsi="Arial Narrow"/>
          <w:sz w:val="26"/>
          <w:szCs w:val="26"/>
        </w:rPr>
      </w:pPr>
    </w:p>
    <w:p w:rsidR="00BB4CB5" w:rsidRDefault="00844E18">
      <w:pPr>
        <w:jc w:val="both"/>
        <w:rPr>
          <w:rFonts w:ascii="Arial Narrow" w:hAnsi="Arial Narrow"/>
          <w:sz w:val="26"/>
          <w:szCs w:val="26"/>
        </w:rPr>
      </w:pPr>
      <w:r>
        <w:rPr>
          <w:rFonts w:ascii="Arial Narrow" w:hAnsi="Arial Narrow"/>
          <w:sz w:val="26"/>
          <w:szCs w:val="26"/>
        </w:rPr>
        <w:t xml:space="preserve">Por otro lado, el Pleno ha aprobado la </w:t>
      </w:r>
      <w:r>
        <w:rPr>
          <w:rFonts w:ascii="Arial Narrow" w:hAnsi="Arial Narrow" w:cs="Arial"/>
          <w:sz w:val="26"/>
          <w:szCs w:val="26"/>
          <w:lang w:val="es-ES_tradnl"/>
        </w:rPr>
        <w:t>modificacion de crédito número T011/2024, en el presupuesto municipal para el ejercicio 2024, prórroga de 2022.</w:t>
      </w:r>
    </w:p>
    <w:p w:rsidR="00BB4CB5" w:rsidRDefault="00BB4CB5">
      <w:pPr>
        <w:jc w:val="both"/>
        <w:rPr>
          <w:rFonts w:ascii="Arial Narrow" w:hAnsi="Arial Narrow" w:cs="Arial"/>
          <w:sz w:val="26"/>
          <w:szCs w:val="26"/>
          <w:lang w:val="es-ES_tradnl"/>
        </w:rPr>
      </w:pPr>
    </w:p>
    <w:p w:rsidR="00BB4CB5" w:rsidRDefault="00844E18">
      <w:pPr>
        <w:jc w:val="both"/>
        <w:rPr>
          <w:rFonts w:ascii="Arial Narrow" w:hAnsi="Arial Narrow"/>
          <w:sz w:val="26"/>
          <w:szCs w:val="26"/>
        </w:rPr>
      </w:pPr>
      <w:r>
        <w:rPr>
          <w:rFonts w:ascii="Arial Narrow" w:hAnsi="Arial Narrow" w:cs="Arial"/>
          <w:sz w:val="26"/>
          <w:szCs w:val="26"/>
          <w:lang w:val="es-ES_tradnl"/>
        </w:rPr>
        <w:t>Como ha explicado el delegado de Economía, Hacienda y Patrimonio, Francisco Delgado, “c</w:t>
      </w:r>
      <w:bookmarkStart w:id="1" w:name="_GoBack_Copy_1"/>
      <w:bookmarkStart w:id="2" w:name="_GoBack_Copy_2"/>
      <w:r>
        <w:rPr>
          <w:rFonts w:ascii="Arial Narrow" w:hAnsi="Arial Narrow"/>
          <w:sz w:val="26"/>
          <w:szCs w:val="26"/>
        </w:rPr>
        <w:t xml:space="preserve">on fecha 12 de febrero de 2024, desde la Delegación de Turismo se emite un informe relativo a la necesidad de traspasar los créditos del presupuesto de la Unidad Jerez Film Office a la Delegación de Turismo, fundamentado en la reciente restructuración organizativa del Ayuntamiento de Jerez, por la que esta Unidad pasa del Área de Presidencia a ser competencia de Turismo y Promoción de la Ciudad, siendo por tanto necesario contar con los créditos de esta Unidad para, fundamentalmente, hacer frente a los costes de adhesión a la Andalucía Film Commission a la que pertenece”. El total de necesidades de crédito asciende a 5.050 euros. </w:t>
      </w:r>
    </w:p>
    <w:p w:rsidR="00BB4CB5" w:rsidRDefault="00BB4CB5">
      <w:pPr>
        <w:jc w:val="both"/>
        <w:rPr>
          <w:rFonts w:ascii="Arial Narrow" w:hAnsi="Arial Narrow"/>
          <w:sz w:val="26"/>
          <w:szCs w:val="26"/>
        </w:rPr>
      </w:pPr>
    </w:p>
    <w:p w:rsidR="00BB4CB5" w:rsidRDefault="00844E18">
      <w:pPr>
        <w:jc w:val="both"/>
        <w:rPr>
          <w:b/>
          <w:bCs/>
        </w:rPr>
      </w:pPr>
      <w:r>
        <w:rPr>
          <w:rFonts w:ascii="Arial Narrow" w:hAnsi="Arial Narrow" w:cs="Arial"/>
          <w:b/>
          <w:bCs/>
          <w:sz w:val="26"/>
          <w:szCs w:val="26"/>
        </w:rPr>
        <w:t>Consejo Local de Mayores</w:t>
      </w:r>
    </w:p>
    <w:p w:rsidR="00BB4CB5" w:rsidRDefault="00BB4CB5">
      <w:pPr>
        <w:jc w:val="both"/>
        <w:rPr>
          <w:rFonts w:ascii="Arial Narrow" w:hAnsi="Arial Narrow"/>
          <w:sz w:val="26"/>
          <w:szCs w:val="26"/>
        </w:rPr>
      </w:pPr>
    </w:p>
    <w:p w:rsidR="00BB4CB5" w:rsidRDefault="00844E18">
      <w:pPr>
        <w:jc w:val="both"/>
        <w:rPr>
          <w:rFonts w:ascii="Arial Narrow" w:hAnsi="Arial Narrow"/>
          <w:sz w:val="26"/>
          <w:szCs w:val="26"/>
        </w:rPr>
      </w:pPr>
      <w:r>
        <w:rPr>
          <w:rFonts w:ascii="Arial Narrow" w:hAnsi="Arial Narrow" w:cs="Arial"/>
          <w:sz w:val="26"/>
          <w:szCs w:val="26"/>
        </w:rPr>
        <w:t xml:space="preserve">Por otro lado, el Pleno ha dado luz verde al nombramiento de los cargos que fueron elegidos en la reciente sesión constitutiva del Consejo Local de Mayores, que se celebró el 19 de febrero de este año, en la que Antonio Carbajo renovó la vicepresidencia ciudadana, estando acompañado en la Comisión de Pleno por Antonio Molina, Antonio Salvador, Francisca Pazo y Luisa Romero. </w:t>
      </w:r>
    </w:p>
    <w:p w:rsidR="00BB4CB5" w:rsidRDefault="00BB4CB5">
      <w:pPr>
        <w:jc w:val="both"/>
        <w:rPr>
          <w:rFonts w:ascii="Arial Narrow" w:hAnsi="Arial Narrow"/>
          <w:sz w:val="26"/>
          <w:szCs w:val="26"/>
        </w:rPr>
      </w:pPr>
    </w:p>
    <w:p w:rsidR="00BB4CB5" w:rsidRDefault="00844E18">
      <w:pPr>
        <w:jc w:val="both"/>
        <w:rPr>
          <w:rFonts w:ascii="Arial Narrow" w:hAnsi="Arial Narrow"/>
          <w:sz w:val="26"/>
          <w:szCs w:val="26"/>
        </w:rPr>
      </w:pPr>
      <w:r>
        <w:rPr>
          <w:rFonts w:ascii="Arial Narrow" w:hAnsi="Arial Narrow"/>
          <w:sz w:val="26"/>
          <w:szCs w:val="26"/>
        </w:rPr>
        <w:t xml:space="preserve">Asimismo, el Pleno ha aprobado la ratificación del </w:t>
      </w:r>
      <w:r>
        <w:rPr>
          <w:rFonts w:ascii="Arial Narrow" w:hAnsi="Arial Narrow" w:cs="Arial"/>
          <w:sz w:val="26"/>
          <w:szCs w:val="26"/>
        </w:rPr>
        <w:t>Reglamento Interno de Funcionamiento del Consejo Local de Mayores, dando así cumplimiento a lo acordado en la sesión del pasado 19 de febrero, en la que se detectó que el citado</w:t>
      </w:r>
      <w:r>
        <w:rPr>
          <w:rFonts w:ascii="Arial Narrow" w:eastAsia="Arial" w:hAnsi="Arial Narrow" w:cs="Arial"/>
          <w:color w:val="00000A"/>
          <w:spacing w:val="-3"/>
          <w:kern w:val="0"/>
          <w:sz w:val="26"/>
          <w:szCs w:val="26"/>
          <w:lang w:eastAsia="en-US"/>
        </w:rPr>
        <w:t xml:space="preserve"> reglamento interno estaba pendiente de ratificación por el Pleno de esta Corporación Local en los términos expresados en el artículo 99 del ROPC.</w:t>
      </w:r>
      <w:bookmarkEnd w:id="1"/>
      <w:bookmarkEnd w:id="2"/>
    </w:p>
    <w:p w:rsidR="00BB4CB5" w:rsidRDefault="00BB4CB5">
      <w:pPr>
        <w:jc w:val="both"/>
        <w:rPr>
          <w:i/>
          <w:iCs/>
        </w:rPr>
      </w:pPr>
    </w:p>
    <w:p w:rsidR="00BB4CB5" w:rsidRDefault="00844E18">
      <w:pPr>
        <w:jc w:val="both"/>
        <w:rPr>
          <w:i/>
          <w:iCs/>
        </w:rPr>
      </w:pPr>
      <w:bookmarkStart w:id="3" w:name="_GoBack_Copy_1_Copy_1"/>
      <w:bookmarkEnd w:id="3"/>
      <w:r>
        <w:rPr>
          <w:rFonts w:ascii="Arial Narrow" w:eastAsia="Arial" w:hAnsi="Arial Narrow" w:cs="Arial"/>
          <w:i/>
          <w:iCs/>
          <w:color w:val="00000A"/>
          <w:spacing w:val="-3"/>
          <w:kern w:val="0"/>
          <w:sz w:val="26"/>
          <w:szCs w:val="26"/>
          <w:lang w:eastAsia="en-US"/>
        </w:rPr>
        <w:t>(Se adjunta fotografía)</w:t>
      </w:r>
    </w:p>
    <w:sectPr w:rsidR="00BB4CB5">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74B" w:rsidRDefault="00844E18">
      <w:r>
        <w:separator/>
      </w:r>
    </w:p>
  </w:endnote>
  <w:endnote w:type="continuationSeparator" w:id="0">
    <w:p w:rsidR="00F7574B" w:rsidRDefault="0084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B5" w:rsidRDefault="00844E18">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74B" w:rsidRDefault="00844E18">
      <w:r>
        <w:separator/>
      </w:r>
    </w:p>
  </w:footnote>
  <w:footnote w:type="continuationSeparator" w:id="0">
    <w:p w:rsidR="00F7574B" w:rsidRDefault="00844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B5" w:rsidRDefault="00844E18">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4CB5"/>
    <w:rsid w:val="00637149"/>
    <w:rsid w:val="00844E18"/>
    <w:rsid w:val="00BB4CB5"/>
    <w:rsid w:val="00D8789C"/>
    <w:rsid w:val="00F757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B3D2E-F64D-46DD-977D-C8A39AAC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next w:val="Textoindependiente"/>
    <w:qFormat/>
    <w:pPr>
      <w:widowControl w:val="0"/>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A41831"/>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independiente3Car">
    <w:name w:val="Texto independiente 3 Car"/>
    <w:qFormat/>
    <w:rPr>
      <w:rFonts w:ascii="Garamond" w:eastAsia="Times New Roman" w:hAnsi="Garamond" w:cs="Times New Roman"/>
      <w:sz w:val="16"/>
      <w:szCs w:val="16"/>
    </w:rPr>
  </w:style>
  <w:style w:type="character" w:styleId="Nmerodepgina">
    <w:name w:val="page number"/>
    <w:qFormat/>
    <w:rPr>
      <w:rFonts w:ascii="Times New Roman" w:eastAsia="Times New Roman" w:hAnsi="Times New Roman" w:cs="Times New Roman"/>
      <w:color w:val="000000"/>
      <w:sz w:val="24"/>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pacing w:before="120" w:after="120"/>
    </w:pPr>
    <w:rPr>
      <w:rFonts w:cs="Arial Unicode MS"/>
      <w:i/>
      <w:iCs/>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rsid w:val="006F3BE5"/>
  </w:style>
  <w:style w:type="paragraph" w:styleId="Prrafodelista">
    <w:name w:val="List Paragraph"/>
    <w:basedOn w:val="Normal"/>
    <w:qFormat/>
    <w:pPr>
      <w:spacing w:after="200"/>
      <w:ind w:left="720"/>
      <w:contextualSpacing/>
    </w:pPr>
    <w:rPr>
      <w:rFonts w:ascii="Calibri" w:eastAsia="Calibri" w:hAnsi="Calibri" w:cs="Calibri"/>
      <w:sz w:val="22"/>
      <w:szCs w:val="22"/>
      <w:lang w:eastAsia="es-ES"/>
    </w:rPr>
  </w:style>
  <w:style w:type="paragraph" w:styleId="Textodeglobo">
    <w:name w:val="Balloon Text"/>
    <w:basedOn w:val="Normal"/>
    <w:qFormat/>
    <w:rPr>
      <w:sz w:val="16"/>
      <w:szCs w:val="16"/>
    </w:rPr>
  </w:style>
  <w:style w:type="paragraph" w:customStyle="1" w:styleId="ttuloyobjetosltgliederung1">
    <w:name w:val="ttuloyobjetosltgliederung1"/>
    <w:basedOn w:val="Normal"/>
    <w:qFormat/>
    <w:pPr>
      <w:spacing w:beforeAutospacing="1" w:afterAutospacing="1"/>
    </w:pPr>
    <w:rPr>
      <w:rFonts w:ascii="Times New Roman" w:hAnsi="Times New Roman" w:cs="Times New Roman"/>
      <w:kern w:val="0"/>
      <w:lang w:eastAsia="es-ES_tradnl"/>
    </w:rPr>
  </w:style>
  <w:style w:type="paragraph" w:styleId="Textoindependiente3">
    <w:name w:val="Body Text 3"/>
    <w:basedOn w:val="Normal"/>
    <w:qFormat/>
    <w:pPr>
      <w:spacing w:after="120"/>
    </w:pPr>
    <w:rPr>
      <w:sz w:val="16"/>
      <w:szCs w:val="16"/>
    </w:rPr>
  </w:style>
  <w:style w:type="paragraph" w:customStyle="1" w:styleId="Encabezado20">
    <w:name w:val="Encabezado 2"/>
    <w:basedOn w:val="Normal"/>
    <w:next w:val="Normal"/>
    <w:qFormat/>
    <w:pPr>
      <w:keepNext/>
      <w:jc w:val="center"/>
    </w:pPr>
    <w:rPr>
      <w:rFonts w:ascii="Times New Roman" w:hAnsi="Times New Roman"/>
      <w:b/>
      <w:u w:val="single"/>
    </w:rPr>
  </w:style>
  <w:style w:type="paragraph" w:styleId="Textoindependiente2">
    <w:name w:val="Body Text 2"/>
    <w:basedOn w:val="Normal"/>
    <w:qFormat/>
    <w:pPr>
      <w:jc w:val="center"/>
    </w:pPr>
    <w:rPr>
      <w:rFonts w:ascii="Arial" w:hAnsi="Arial"/>
    </w:rPr>
  </w:style>
  <w:style w:type="paragraph" w:customStyle="1" w:styleId="Encabezado3">
    <w:name w:val="Encabezado 3"/>
    <w:basedOn w:val="Normal"/>
    <w:next w:val="Normal"/>
    <w:qFormat/>
    <w:pPr>
      <w:keepNext/>
      <w:jc w:val="center"/>
    </w:pPr>
    <w:rPr>
      <w:rFonts w:ascii="Arial" w:hAnsi="Arial"/>
      <w:b/>
      <w:u w:val="single"/>
      <w:lang w:val="en-US"/>
    </w:rPr>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749</Words>
  <Characters>4124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93</cp:revision>
  <dcterms:created xsi:type="dcterms:W3CDTF">2024-03-22T10:34:00Z</dcterms:created>
  <dcterms:modified xsi:type="dcterms:W3CDTF">2024-03-22T11:53:00Z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