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E474B" w:rsidRDefault="007E474B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7E474B" w:rsidRDefault="006A33B6">
      <w:pPr>
        <w:pStyle w:val="Textoindependiente"/>
        <w:spacing w:before="280" w:after="280" w:line="240" w:lineRule="auto"/>
      </w:pPr>
      <w:r>
        <w:rPr>
          <w:rStyle w:val="nfasis1"/>
          <w:rFonts w:ascii="Arial Narrow" w:hAnsi="Arial Narrow" w:cs="Arial"/>
          <w:b/>
          <w:bCs/>
          <w:i w:val="0"/>
          <w:iCs w:val="0"/>
          <w:sz w:val="40"/>
          <w:szCs w:val="40"/>
        </w:rPr>
        <w:t>Comienzan las obras de reparación de la Torre de la Atalaya para garantizar la conservación y el mantenimiento de esta edificación civil</w:t>
      </w:r>
    </w:p>
    <w:p w:rsidR="007E474B" w:rsidRDefault="006A33B6">
      <w:r>
        <w:rPr>
          <w:rStyle w:val="nfasis1"/>
          <w:rFonts w:ascii="Arial Narrow" w:hAnsi="Arial Narrow" w:cs="Arial"/>
          <w:i w:val="0"/>
          <w:iCs w:val="0"/>
          <w:color w:val="000000"/>
          <w:sz w:val="36"/>
          <w:szCs w:val="36"/>
        </w:rPr>
        <w:t xml:space="preserve">El Ayuntamiento inicia una 1ª fase de esta intervención, que tiene un importe de 80.195 euros financiados por la </w:t>
      </w:r>
      <w:r>
        <w:rPr>
          <w:rStyle w:val="nfasis1"/>
          <w:rFonts w:ascii="Arial Narrow" w:hAnsi="Arial Narrow" w:cs="Arial"/>
          <w:i w:val="0"/>
          <w:iCs w:val="0"/>
          <w:color w:val="000000"/>
          <w:sz w:val="36"/>
          <w:szCs w:val="36"/>
        </w:rPr>
        <w:t xml:space="preserve">Diputación Provincial de Cádiz </w:t>
      </w:r>
    </w:p>
    <w:p w:rsidR="007E474B" w:rsidRDefault="007E474B">
      <w:pPr>
        <w:rPr>
          <w:rFonts w:ascii="Arial Narrow" w:hAnsi="Arial Narrow"/>
          <w:sz w:val="36"/>
          <w:szCs w:val="36"/>
        </w:rPr>
      </w:pPr>
    </w:p>
    <w:p w:rsidR="007E474B" w:rsidRDefault="006A33B6">
      <w:pPr>
        <w:jc w:val="both"/>
      </w:pPr>
      <w:r>
        <w:rPr>
          <w:rFonts w:ascii="Arial Narrow" w:eastAsia="Tahoma" w:hAnsi="Arial Narrow" w:cs="Arial"/>
          <w:b/>
          <w:bCs/>
          <w:sz w:val="26"/>
          <w:szCs w:val="26"/>
        </w:rPr>
        <w:t xml:space="preserve">24 de abril de 2024.  </w:t>
      </w:r>
      <w:r>
        <w:rPr>
          <w:rFonts w:ascii="Arial Narrow" w:eastAsia="Tahoma" w:hAnsi="Arial Narrow" w:cs="Arial"/>
          <w:sz w:val="26"/>
          <w:szCs w:val="26"/>
        </w:rPr>
        <w:t>E</w:t>
      </w:r>
      <w:r>
        <w:rPr>
          <w:rFonts w:ascii="Arial Narrow" w:eastAsia="Tahoma" w:hAnsi="Arial Narrow" w:cs="Arial Narrow"/>
          <w:sz w:val="26"/>
          <w:szCs w:val="26"/>
        </w:rPr>
        <w:t>l delegado de Presidencia y Centro Histórico, Agustín Muñoz, ha subrayado la importancia de las obras que han comenzado a ejecutarse en la Torre de la Atalaya, que forman parte del conjunto de interve</w:t>
      </w:r>
      <w:r>
        <w:rPr>
          <w:rFonts w:ascii="Arial Narrow" w:eastAsia="Tahoma" w:hAnsi="Arial Narrow" w:cs="Arial Narrow"/>
          <w:sz w:val="26"/>
          <w:szCs w:val="26"/>
        </w:rPr>
        <w:t xml:space="preserve">nciones que el Ayuntamiento está desarrollando en el centro histórico para renovar las infraestructuras viarias y contribuir a la recuperación del patrimonio artístico y cultural. En concreto, esta actuación tiene como objeto  frenar el deterioro que este </w:t>
      </w:r>
      <w:r>
        <w:rPr>
          <w:rFonts w:ascii="Arial Narrow" w:eastAsia="Tahoma" w:hAnsi="Arial Narrow" w:cs="Arial Narrow"/>
          <w:sz w:val="26"/>
          <w:szCs w:val="26"/>
        </w:rPr>
        <w:t>elemento, ocasionado por el paso de los años</w:t>
      </w:r>
      <w:bookmarkStart w:id="0" w:name="_GoBack"/>
      <w:bookmarkEnd w:id="0"/>
      <w:r>
        <w:rPr>
          <w:rFonts w:ascii="Arial Narrow" w:eastAsia="Tahoma" w:hAnsi="Arial Narrow" w:cs="Arial Narrow"/>
          <w:sz w:val="26"/>
          <w:szCs w:val="26"/>
        </w:rPr>
        <w:t xml:space="preserve"> y mantener su integridad.</w:t>
      </w:r>
    </w:p>
    <w:p w:rsidR="007E474B" w:rsidRDefault="007E474B">
      <w:pPr>
        <w:jc w:val="both"/>
        <w:rPr>
          <w:rFonts w:ascii="Arial Narrow" w:hAnsi="Arial Narrow"/>
          <w:sz w:val="26"/>
          <w:szCs w:val="26"/>
        </w:rPr>
      </w:pPr>
    </w:p>
    <w:p w:rsidR="007E474B" w:rsidRDefault="006A33B6">
      <w:pPr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Incluidas dentro de las inversiones destinadas a Jerez por parte de la Diputación Provincial de Cádiz, las obras de reparación y conservación en la Torre de la Atalaya se adjudicaron </w:t>
      </w:r>
      <w:r>
        <w:rPr>
          <w:rFonts w:ascii="Arial Narrow" w:hAnsi="Arial Narrow" w:cs="Arial Narrow"/>
          <w:sz w:val="26"/>
          <w:szCs w:val="26"/>
        </w:rPr>
        <w:t xml:space="preserve">a la empresa </w:t>
      </w:r>
      <w:proofErr w:type="spellStart"/>
      <w:r>
        <w:rPr>
          <w:rFonts w:ascii="Arial Narrow" w:hAnsi="Arial Narrow" w:cs="Arial Narrow"/>
          <w:sz w:val="26"/>
          <w:szCs w:val="26"/>
        </w:rPr>
        <w:t>Frival</w:t>
      </w:r>
      <w:proofErr w:type="spellEnd"/>
      <w:r>
        <w:rPr>
          <w:rFonts w:ascii="Arial Narrow" w:hAnsi="Arial Narrow" w:cs="Arial Narrow"/>
          <w:sz w:val="26"/>
          <w:szCs w:val="26"/>
        </w:rPr>
        <w:t xml:space="preserve"> Servicios Integrales S.L por una cuantía de 80.195 euros y tienen un plazo de ejecución de cinco meses. </w:t>
      </w:r>
    </w:p>
    <w:p w:rsidR="007E474B" w:rsidRDefault="007E474B">
      <w:pPr>
        <w:spacing w:after="142"/>
        <w:jc w:val="both"/>
        <w:rPr>
          <w:rFonts w:ascii="Arial Narrow" w:hAnsi="Arial Narrow" w:cs="Arial Narrow"/>
          <w:sz w:val="26"/>
          <w:szCs w:val="26"/>
        </w:rPr>
      </w:pPr>
    </w:p>
    <w:p w:rsidR="007E474B" w:rsidRDefault="006A33B6">
      <w:pPr>
        <w:spacing w:after="142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Tal y como se describe en la memoria del proyecto, se trata de una edificación civil construida a mediados del siglo XV, que se en</w:t>
      </w:r>
      <w:r>
        <w:rPr>
          <w:rFonts w:ascii="Arial Narrow" w:hAnsi="Arial Narrow" w:cs="Arial Narrow"/>
          <w:sz w:val="26"/>
          <w:szCs w:val="26"/>
        </w:rPr>
        <w:t>cuentra adosada a la iglesia de San Dionisio. La intervención ha dado comienzo esta semana y tendrá carácter parcial, es decir, constituye “una primera fase de una actuación más amplia que tiene como finalidad la restauración integral de la Torre; es por e</w:t>
      </w:r>
      <w:r>
        <w:rPr>
          <w:rFonts w:ascii="Arial Narrow" w:hAnsi="Arial Narrow" w:cs="Arial Narrow"/>
          <w:sz w:val="26"/>
          <w:szCs w:val="26"/>
        </w:rPr>
        <w:t xml:space="preserve">llo, que incluye las obras más necesarias y urgentes para garantizar la buena conservación del edificio”, ha puntualizado el responsable municipal. </w:t>
      </w:r>
    </w:p>
    <w:p w:rsidR="007E474B" w:rsidRDefault="006A33B6">
      <w:pPr>
        <w:spacing w:after="142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Así pues, esta primera fase tiene como objeto, en primer lugar, analizar el estado de la Torre, que está de</w:t>
      </w:r>
      <w:r>
        <w:rPr>
          <w:rFonts w:ascii="Arial Narrow" w:hAnsi="Arial Narrow" w:cs="Arial Narrow"/>
          <w:sz w:val="26"/>
          <w:szCs w:val="26"/>
        </w:rPr>
        <w:t>clarada Bien de Interés Cultural (BIC), así como describir las deficiencias observadas y elaborar un pre-diagnóstico, con el propósito de determinar y definir las actuaciones de reparación, preventivas y necesarias, así como prever futuros estudios y actua</w:t>
      </w:r>
      <w:r>
        <w:rPr>
          <w:rFonts w:ascii="Arial Narrow" w:hAnsi="Arial Narrow" w:cs="Arial Narrow"/>
          <w:sz w:val="26"/>
          <w:szCs w:val="26"/>
        </w:rPr>
        <w:t xml:space="preserve">ciones para definir una intervención integral de restauración y puesta en valor del monumento. </w:t>
      </w:r>
    </w:p>
    <w:p w:rsidR="007E474B" w:rsidRDefault="006A33B6">
      <w:pPr>
        <w:spacing w:after="142"/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Además, la intervención en curso contempla varias actuaciones parciales destinadas a devolver a este espacio las condiciones necesarias para su adecuado funcion</w:t>
      </w:r>
      <w:r>
        <w:rPr>
          <w:rFonts w:ascii="Arial Narrow" w:eastAsia="Tahoma" w:hAnsi="Arial Narrow" w:cs="Arial"/>
          <w:sz w:val="26"/>
          <w:szCs w:val="26"/>
        </w:rPr>
        <w:t xml:space="preserve">amiento futuro, entre las que se incluyen la reparación de </w:t>
      </w:r>
      <w:r>
        <w:rPr>
          <w:rFonts w:ascii="Arial Narrow" w:eastAsia="Tahoma" w:hAnsi="Arial Narrow" w:cs="Arial"/>
          <w:sz w:val="26"/>
          <w:szCs w:val="26"/>
        </w:rPr>
        <w:lastRenderedPageBreak/>
        <w:t>almenas en mal estado y de los revestimientos exteriores,  la limpieza y consolidación de la fábrica de piedra, y trabajos de estanqueidad de fachadas y cubiertas para eliminar la humedad por filtr</w:t>
      </w:r>
      <w:r>
        <w:rPr>
          <w:rFonts w:ascii="Arial Narrow" w:eastAsia="Tahoma" w:hAnsi="Arial Narrow" w:cs="Arial"/>
          <w:sz w:val="26"/>
          <w:szCs w:val="26"/>
        </w:rPr>
        <w:t>ación.</w:t>
      </w:r>
    </w:p>
    <w:p w:rsidR="007E474B" w:rsidRDefault="007E474B">
      <w:pPr>
        <w:jc w:val="both"/>
        <w:rPr>
          <w:rFonts w:ascii="Arial Narrow" w:eastAsia="Tahoma" w:hAnsi="Arial Narrow" w:cs="Arial"/>
          <w:b/>
          <w:bCs/>
          <w:sz w:val="26"/>
          <w:szCs w:val="26"/>
        </w:rPr>
      </w:pPr>
    </w:p>
    <w:p w:rsidR="007E474B" w:rsidRDefault="007E474B">
      <w:pPr>
        <w:jc w:val="both"/>
        <w:rPr>
          <w:rFonts w:ascii="Arial Narrow" w:hAnsi="Arial Narrow" w:cs="Arial"/>
          <w:sz w:val="26"/>
          <w:szCs w:val="26"/>
        </w:rPr>
      </w:pPr>
    </w:p>
    <w:tbl>
      <w:tblPr>
        <w:tblW w:w="7649" w:type="dxa"/>
        <w:tblInd w:w="1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9"/>
      </w:tblGrid>
      <w:tr w:rsidR="007E474B"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74B" w:rsidRDefault="006A33B6">
            <w:pPr>
              <w:widowControl w:val="0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Se adjunta fotografía</w:t>
            </w:r>
          </w:p>
        </w:tc>
      </w:tr>
    </w:tbl>
    <w:p w:rsidR="007E474B" w:rsidRDefault="007E474B">
      <w:pPr>
        <w:rPr>
          <w:rStyle w:val="nfasis"/>
          <w:rFonts w:ascii="Arial Narrow" w:eastAsiaTheme="minorHAnsi" w:hAnsi="Arial Narrow" w:cs="Calibri"/>
          <w:b/>
          <w:bCs/>
          <w:color w:val="000000"/>
          <w:sz w:val="26"/>
          <w:szCs w:val="26"/>
          <w:lang w:eastAsia="en-US"/>
        </w:rPr>
      </w:pPr>
    </w:p>
    <w:sectPr w:rsidR="007E474B">
      <w:headerReference w:type="even" r:id="rId7"/>
      <w:headerReference w:type="default" r:id="rId8"/>
      <w:headerReference w:type="first" r:id="rId9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A33B6">
      <w:r>
        <w:separator/>
      </w:r>
    </w:p>
  </w:endnote>
  <w:endnote w:type="continuationSeparator" w:id="0">
    <w:p w:rsidR="00000000" w:rsidRDefault="006A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0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font2011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A33B6">
      <w:r>
        <w:separator/>
      </w:r>
    </w:p>
  </w:footnote>
  <w:footnote w:type="continuationSeparator" w:id="0">
    <w:p w:rsidR="00000000" w:rsidRDefault="006A3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74B" w:rsidRDefault="007E474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74B" w:rsidRDefault="006A33B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74B" w:rsidRDefault="006A33B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0D68"/>
    <w:multiLevelType w:val="multilevel"/>
    <w:tmpl w:val="E8B644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F10BBF"/>
    <w:multiLevelType w:val="multilevel"/>
    <w:tmpl w:val="AD40F66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7E474B"/>
    <w:rsid w:val="006A33B6"/>
    <w:rsid w:val="007E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D7FD0-DCC5-4CC8-8DB1-7D28DB8A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nfasis1">
    <w:name w:val="Énfasis1"/>
    <w:qFormat/>
    <w:rPr>
      <w:i/>
      <w:iCs/>
    </w:rPr>
  </w:style>
  <w:style w:type="character" w:customStyle="1" w:styleId="Ttulo1Car">
    <w:name w:val="Título 1 Car"/>
    <w:qFormat/>
    <w:rPr>
      <w:rFonts w:ascii="Calibri" w:hAnsi="Calibri" w:cs="Calibri"/>
      <w:b/>
      <w:color w:val="000000"/>
      <w:sz w:val="28"/>
      <w:szCs w:val="32"/>
    </w:rPr>
  </w:style>
  <w:style w:type="character" w:customStyle="1" w:styleId="Ttulo2Car">
    <w:name w:val="Título 2 Car"/>
    <w:qFormat/>
    <w:rPr>
      <w:rFonts w:ascii="Calibri" w:hAnsi="Calibri" w:cs="Calibri"/>
      <w:b/>
      <w:i/>
      <w:color w:val="000000"/>
      <w:sz w:val="20"/>
      <w:szCs w:val="32"/>
    </w:rPr>
  </w:style>
  <w:style w:type="character" w:styleId="Ttulodellibro">
    <w:name w:val="Book Title"/>
    <w:qFormat/>
    <w:rPr>
      <w:rFonts w:ascii="Times New Roman" w:eastAsia="Times New Roman" w:hAnsi="Times New Roman" w:cs="Times New Roman"/>
      <w:bCs/>
      <w:iCs/>
      <w:color w:val="000000"/>
      <w:spacing w:val="5"/>
      <w:sz w:val="28"/>
      <w:szCs w:val="24"/>
    </w:rPr>
  </w:style>
  <w:style w:type="character" w:customStyle="1" w:styleId="SubttuloCar">
    <w:name w:val="Subtítulo Car"/>
    <w:qFormat/>
    <w:rPr>
      <w:rFonts w:ascii="Times New Roman" w:hAnsi="Times New Roman" w:cs="Times New Roman"/>
      <w:i/>
      <w:color w:val="5A5A5A"/>
      <w:spacing w:val="15"/>
      <w:sz w:val="24"/>
      <w:szCs w:val="24"/>
    </w:rPr>
  </w:style>
  <w:style w:type="character" w:customStyle="1" w:styleId="TextonotaalfinalCar">
    <w:name w:val="Texto nota al final Car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nfasissutil">
    <w:name w:val="Subtle Emphasis"/>
    <w:qFormat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PuestoCar">
    <w:name w:val="Puesto Car"/>
    <w:qFormat/>
    <w:rPr>
      <w:rFonts w:ascii="Calibri" w:hAnsi="Calibri" w:cs="0"/>
      <w:color w:val="000000"/>
      <w:spacing w:val="-10"/>
      <w:sz w:val="56"/>
      <w:szCs w:val="56"/>
    </w:rPr>
  </w:style>
  <w:style w:type="character" w:customStyle="1" w:styleId="TextonotapieCar">
    <w:name w:val="Texto nota pie Car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xtoindependiente2Car">
    <w:name w:val="Texto independiente 2 Ca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qFormat/>
    <w:rPr>
      <w:rFonts w:ascii="Tahoma" w:hAnsi="Tahoma" w:cs="Tahoma"/>
      <w:kern w:val="2"/>
      <w:sz w:val="24"/>
      <w:lang w:eastAsia="zh-CN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Prrafodelista">
    <w:name w:val="List Paragraph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2011"/>
      <w:sz w:val="22"/>
      <w:szCs w:val="22"/>
      <w:lang w:bidi="hi-IN"/>
    </w:rPr>
  </w:style>
  <w:style w:type="paragraph" w:styleId="Listaconvietas2">
    <w:name w:val="List Bullet 2"/>
    <w:basedOn w:val="Normal"/>
    <w:pPr>
      <w:contextualSpacing/>
    </w:pPr>
  </w:style>
  <w:style w:type="paragraph" w:styleId="Listaconvietas3">
    <w:name w:val="List Bullet 3"/>
    <w:basedOn w:val="Normal"/>
    <w:pPr>
      <w:contextualSpacing/>
    </w:pPr>
  </w:style>
  <w:style w:type="paragraph" w:customStyle="1" w:styleId="fecha">
    <w:name w:val="fecha"/>
    <w:basedOn w:val="Normal"/>
    <w:qFormat/>
    <w:pPr>
      <w:jc w:val="right"/>
    </w:pPr>
  </w:style>
  <w:style w:type="paragraph" w:customStyle="1" w:styleId="Normal0">
    <w:name w:val="Normal 0"/>
    <w:basedOn w:val="Normal"/>
    <w:qFormat/>
    <w:pPr>
      <w:spacing w:line="240" w:lineRule="exact"/>
      <w:jc w:val="center"/>
    </w:pPr>
  </w:style>
  <w:style w:type="paragraph" w:styleId="Listaconvietas">
    <w:name w:val="List Bullet"/>
    <w:basedOn w:val="Normal"/>
    <w:pPr>
      <w:ind w:left="357" w:hanging="357"/>
    </w:pPr>
  </w:style>
  <w:style w:type="paragraph" w:customStyle="1" w:styleId="ttuloyobjetosltgliederung1">
    <w:name w:val="ttuloyobjetosltgliederung1"/>
    <w:basedOn w:val="Normal"/>
    <w:qFormat/>
    <w:pPr>
      <w:spacing w:before="280" w:after="280"/>
    </w:pPr>
    <w:rPr>
      <w:rFonts w:ascii="Times New Roman" w:hAnsi="Times New Roman" w:cs="Times New Roman"/>
      <w:kern w:val="0"/>
      <w:lang w:eastAsia="es-ES_tradnl"/>
    </w:rPr>
  </w:style>
  <w:style w:type="paragraph" w:styleId="Textodeglobo">
    <w:name w:val="Balloon Text"/>
    <w:basedOn w:val="Normal"/>
    <w:qFormat/>
    <w:rPr>
      <w:sz w:val="16"/>
      <w:szCs w:val="16"/>
    </w:rPr>
  </w:style>
  <w:style w:type="paragraph" w:styleId="Sinespaciado">
    <w:name w:val="No Spacing"/>
    <w:basedOn w:val="Normal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398</Words>
  <Characters>2189</Characters>
  <Application>Microsoft Office Word</Application>
  <DocSecurity>0</DocSecurity>
  <Lines>18</Lines>
  <Paragraphs>5</Paragraphs>
  <ScaleCrop>false</ScaleCrop>
  <Company>HP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26</cp:revision>
  <dcterms:created xsi:type="dcterms:W3CDTF">2008-04-18T08:06:00Z</dcterms:created>
  <dcterms:modified xsi:type="dcterms:W3CDTF">2024-04-24T11:15:00Z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