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5C66" w:rsidRDefault="007D5C66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D5C66" w:rsidRDefault="00BD6D1B">
      <w:r>
        <w:rPr>
          <w:rStyle w:val="nfasis1"/>
          <w:rFonts w:ascii="Arial Narrow" w:hAnsi="Arial Narrow" w:cs="Arial Narrow"/>
          <w:b/>
          <w:bCs/>
          <w:i w:val="0"/>
          <w:iCs w:val="0"/>
          <w:sz w:val="40"/>
          <w:szCs w:val="40"/>
          <w:lang w:eastAsia="es-ES_tradnl"/>
        </w:rPr>
        <w:t xml:space="preserve">El Pleno insta al Gobierno de España a declarar a las fuerzas y cuerpos de Seguridad del Estado como profesiones de riesgo y a su equiparación salarial </w:t>
      </w:r>
    </w:p>
    <w:p w:rsidR="007D5C66" w:rsidRDefault="007D5C66">
      <w:pPr>
        <w:rPr>
          <w:rStyle w:val="nfasis1"/>
          <w:rFonts w:ascii="Arial Narrow" w:hAnsi="Arial Narrow" w:cs="Arial"/>
          <w:i w:val="0"/>
          <w:iCs w:val="0"/>
          <w:color w:val="000000"/>
          <w:sz w:val="32"/>
          <w:szCs w:val="32"/>
        </w:rPr>
      </w:pPr>
    </w:p>
    <w:p w:rsidR="007D5C66" w:rsidRDefault="007D5C66">
      <w:pPr>
        <w:rPr>
          <w:rFonts w:ascii="Arial Narrow" w:hAnsi="Arial Narrow"/>
          <w:sz w:val="36"/>
          <w:szCs w:val="3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30 de abril de 2024. </w:t>
      </w:r>
      <w:r>
        <w:rPr>
          <w:rFonts w:ascii="Arial Narrow" w:hAnsi="Arial Narrow" w:cs="Trebuchet MS"/>
          <w:color w:val="000000"/>
          <w:sz w:val="26"/>
          <w:szCs w:val="26"/>
        </w:rPr>
        <w:t>El Pleno ordinario del mes de abril, presidido por la alcaldesa, María José García-Pelayo, ha aprobado</w:t>
      </w:r>
      <w:r w:rsidR="00AA097E">
        <w:rPr>
          <w:rFonts w:ascii="Arial Narrow" w:hAnsi="Arial Narrow" w:cs="Trebuchet MS"/>
          <w:color w:val="000000"/>
          <w:sz w:val="26"/>
          <w:szCs w:val="26"/>
        </w:rPr>
        <w:t xml:space="preserve"> por unanimidad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</w:t>
      </w:r>
      <w:r>
        <w:rPr>
          <w:rFonts w:ascii="Arial Narrow" w:hAnsi="Arial Narrow" w:cs="Gadugi"/>
          <w:color w:val="000000"/>
          <w:sz w:val="26"/>
          <w:szCs w:val="26"/>
        </w:rPr>
        <w:t>una proposición, presentada por el Grupo Municipal del Partido Popular, en la que insta al Gobierno de España a realizar “las modificaciones legales pert</w:t>
      </w:r>
      <w:r>
        <w:rPr>
          <w:rFonts w:ascii="Arial Narrow" w:hAnsi="Arial Narrow" w:cs="Gadugi"/>
          <w:color w:val="000000"/>
          <w:sz w:val="26"/>
          <w:szCs w:val="26"/>
        </w:rPr>
        <w:t>inentes para que nuestras fuerzas y cuerpos de seguridad del Estado (Guardia Civil y Policía Nacional) gocen de la consideración de Profesión de Riesgo”, así como a “encargar un nuevo informe de consultoría externa que señale las cantidades pendientes de c</w:t>
      </w:r>
      <w:r>
        <w:rPr>
          <w:rFonts w:ascii="Arial Narrow" w:hAnsi="Arial Narrow" w:cs="Gadugi"/>
          <w:color w:val="000000"/>
          <w:sz w:val="26"/>
          <w:szCs w:val="26"/>
        </w:rPr>
        <w:t xml:space="preserve">onsignar, puesto a puesto, hasta la equiparación real, total y absoluta de ambos cuerpos”. 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0C57CF" w:rsidRDefault="000C57C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</w:t>
      </w:r>
      <w:r w:rsidR="009F49BD">
        <w:rPr>
          <w:rFonts w:ascii="Arial Narrow" w:hAnsi="Arial Narrow"/>
          <w:sz w:val="26"/>
          <w:szCs w:val="26"/>
        </w:rPr>
        <w:t>lcaldesa</w:t>
      </w:r>
      <w:r>
        <w:rPr>
          <w:rFonts w:ascii="Arial Narrow" w:hAnsi="Arial Narrow"/>
          <w:sz w:val="26"/>
          <w:szCs w:val="26"/>
        </w:rPr>
        <w:t>, ha agradecido</w:t>
      </w:r>
      <w:r w:rsidR="009F49BD">
        <w:rPr>
          <w:rFonts w:ascii="Arial Narrow" w:hAnsi="Arial Narrow"/>
          <w:sz w:val="26"/>
          <w:szCs w:val="26"/>
        </w:rPr>
        <w:t xml:space="preserve"> la presencia de los representantes de los sindicatos y organizaciones </w:t>
      </w:r>
      <w:r>
        <w:rPr>
          <w:rFonts w:ascii="Arial Narrow" w:hAnsi="Arial Narrow"/>
          <w:sz w:val="26"/>
          <w:szCs w:val="26"/>
        </w:rPr>
        <w:t>de la Policía Nacional y Guardia Civil y ha agradecido también "el</w:t>
      </w:r>
      <w:r w:rsidR="009F49BD">
        <w:rPr>
          <w:rFonts w:ascii="Arial Narrow" w:hAnsi="Arial Narrow"/>
          <w:sz w:val="26"/>
          <w:szCs w:val="26"/>
        </w:rPr>
        <w:t xml:space="preserve"> trabajo </w:t>
      </w:r>
      <w:r>
        <w:rPr>
          <w:rFonts w:ascii="Arial Narrow" w:hAnsi="Arial Narrow"/>
          <w:sz w:val="26"/>
          <w:szCs w:val="26"/>
        </w:rPr>
        <w:t xml:space="preserve">que realizáis </w:t>
      </w:r>
      <w:r w:rsidR="009F49BD">
        <w:rPr>
          <w:rFonts w:ascii="Arial Narrow" w:hAnsi="Arial Narrow"/>
          <w:sz w:val="26"/>
          <w:szCs w:val="26"/>
        </w:rPr>
        <w:t>cada día y lo que me habéis enseñado como política, sé</w:t>
      </w:r>
      <w:r>
        <w:rPr>
          <w:rFonts w:ascii="Arial Narrow" w:hAnsi="Arial Narrow"/>
          <w:sz w:val="26"/>
          <w:szCs w:val="26"/>
        </w:rPr>
        <w:t xml:space="preserve"> que hay asignaturas pendientes y creo que</w:t>
      </w:r>
      <w:r w:rsidR="009F49BD">
        <w:rPr>
          <w:rFonts w:ascii="Arial Narrow" w:hAnsi="Arial Narrow"/>
          <w:sz w:val="26"/>
          <w:szCs w:val="26"/>
        </w:rPr>
        <w:t xml:space="preserve"> no es el momento de hacer política sino estar unidos y estar a la altura de lo que nos </w:t>
      </w:r>
      <w:r>
        <w:rPr>
          <w:rFonts w:ascii="Arial Narrow" w:hAnsi="Arial Narrow"/>
          <w:sz w:val="26"/>
          <w:szCs w:val="26"/>
        </w:rPr>
        <w:t>pedís</w:t>
      </w:r>
      <w:r w:rsidR="00BD6D1B">
        <w:rPr>
          <w:rFonts w:ascii="Arial Narrow" w:hAnsi="Arial Narrow"/>
          <w:sz w:val="26"/>
          <w:szCs w:val="26"/>
        </w:rPr>
        <w:t xml:space="preserve"> y</w:t>
      </w:r>
      <w:r>
        <w:rPr>
          <w:rFonts w:ascii="Arial Narrow" w:hAnsi="Arial Narrow"/>
          <w:sz w:val="26"/>
          <w:szCs w:val="26"/>
        </w:rPr>
        <w:t xml:space="preserve"> no sólo </w:t>
      </w:r>
      <w:r w:rsidR="00BD6D1B">
        <w:rPr>
          <w:rFonts w:ascii="Arial Narrow" w:hAnsi="Arial Narrow"/>
          <w:sz w:val="26"/>
          <w:szCs w:val="26"/>
        </w:rPr>
        <w:t>daros palmaditas en la espalda</w:t>
      </w:r>
      <w:r>
        <w:rPr>
          <w:rFonts w:ascii="Arial Narrow" w:hAnsi="Arial Narrow"/>
          <w:sz w:val="26"/>
          <w:szCs w:val="26"/>
        </w:rPr>
        <w:t>"</w:t>
      </w:r>
      <w:r w:rsidR="009F49BD">
        <w:rPr>
          <w:rFonts w:ascii="Arial Narrow" w:hAnsi="Arial Narrow"/>
          <w:sz w:val="26"/>
          <w:szCs w:val="26"/>
        </w:rPr>
        <w:t xml:space="preserve">. </w:t>
      </w:r>
    </w:p>
    <w:p w:rsidR="000C57CF" w:rsidRDefault="000C57CF">
      <w:pPr>
        <w:jc w:val="both"/>
        <w:rPr>
          <w:rFonts w:ascii="Arial Narrow" w:hAnsi="Arial Narrow"/>
          <w:sz w:val="26"/>
          <w:szCs w:val="26"/>
        </w:rPr>
      </w:pPr>
    </w:p>
    <w:p w:rsidR="009F49BD" w:rsidRDefault="000C57C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"Con esta proposición</w:t>
      </w:r>
      <w:r w:rsidR="009F49B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os devolvemos un poquito de lo que hacéis, esperamos que </w:t>
      </w:r>
      <w:r w:rsidR="009F49BD">
        <w:rPr>
          <w:rFonts w:ascii="Arial Narrow" w:hAnsi="Arial Narrow"/>
          <w:sz w:val="26"/>
          <w:szCs w:val="26"/>
        </w:rPr>
        <w:t xml:space="preserve">no se quede en papel mojado sino que salga adelante. No es una profesión de riesgo sino una vida de riesgo para vosotros y vuestras familias, </w:t>
      </w:r>
      <w:r w:rsidR="00BD6D1B">
        <w:rPr>
          <w:rFonts w:ascii="Arial Narrow" w:hAnsi="Arial Narrow"/>
          <w:sz w:val="26"/>
          <w:szCs w:val="26"/>
        </w:rPr>
        <w:t xml:space="preserve">un </w:t>
      </w:r>
      <w:r w:rsidR="009F49BD">
        <w:rPr>
          <w:rFonts w:ascii="Arial Narrow" w:hAnsi="Arial Narrow"/>
          <w:sz w:val="26"/>
          <w:szCs w:val="26"/>
        </w:rPr>
        <w:t xml:space="preserve">abrazo sobre todo </w:t>
      </w:r>
      <w:r w:rsidR="00BD6D1B">
        <w:rPr>
          <w:rFonts w:ascii="Arial Narrow" w:hAnsi="Arial Narrow"/>
          <w:sz w:val="26"/>
          <w:szCs w:val="26"/>
        </w:rPr>
        <w:t xml:space="preserve">a </w:t>
      </w:r>
      <w:r w:rsidR="009F49BD">
        <w:rPr>
          <w:rFonts w:ascii="Arial Narrow" w:hAnsi="Arial Narrow"/>
          <w:sz w:val="26"/>
          <w:szCs w:val="26"/>
        </w:rPr>
        <w:t>mujeres</w:t>
      </w:r>
      <w:r w:rsidR="00D904CB">
        <w:rPr>
          <w:rFonts w:ascii="Arial Narrow" w:hAnsi="Arial Narrow"/>
          <w:sz w:val="26"/>
          <w:szCs w:val="26"/>
        </w:rPr>
        <w:t xml:space="preserve"> como las que han creado la P</w:t>
      </w:r>
      <w:r w:rsidR="009F49BD">
        <w:rPr>
          <w:rFonts w:ascii="Arial Narrow" w:hAnsi="Arial Narrow"/>
          <w:sz w:val="26"/>
          <w:szCs w:val="26"/>
        </w:rPr>
        <w:t>lataforma</w:t>
      </w:r>
      <w:r w:rsidR="00BD6D1B">
        <w:rPr>
          <w:rFonts w:ascii="Arial Narrow" w:hAnsi="Arial Narrow"/>
          <w:sz w:val="26"/>
          <w:szCs w:val="26"/>
        </w:rPr>
        <w:t xml:space="preserve"> de familiares de la Guardia Civil</w:t>
      </w:r>
      <w:r w:rsidR="009F49BD">
        <w:rPr>
          <w:rFonts w:ascii="Arial Narrow" w:hAnsi="Arial Narrow"/>
          <w:sz w:val="26"/>
          <w:szCs w:val="26"/>
        </w:rPr>
        <w:t xml:space="preserve"> </w:t>
      </w:r>
      <w:r w:rsidR="00D904CB">
        <w:rPr>
          <w:rFonts w:ascii="Arial Narrow" w:hAnsi="Arial Narrow"/>
          <w:sz w:val="26"/>
          <w:szCs w:val="26"/>
        </w:rPr>
        <w:t xml:space="preserve">para </w:t>
      </w:r>
      <w:r w:rsidR="009F49BD">
        <w:rPr>
          <w:rFonts w:ascii="Arial Narrow" w:hAnsi="Arial Narrow"/>
          <w:sz w:val="26"/>
          <w:szCs w:val="26"/>
        </w:rPr>
        <w:t>concienciar</w:t>
      </w:r>
      <w:r w:rsidR="00D904CB">
        <w:rPr>
          <w:rFonts w:ascii="Arial Narrow" w:hAnsi="Arial Narrow"/>
          <w:sz w:val="26"/>
          <w:szCs w:val="26"/>
        </w:rPr>
        <w:t xml:space="preserve">nos de </w:t>
      </w:r>
      <w:r w:rsidR="009F49BD">
        <w:rPr>
          <w:rFonts w:ascii="Arial Narrow" w:hAnsi="Arial Narrow"/>
          <w:sz w:val="26"/>
          <w:szCs w:val="26"/>
        </w:rPr>
        <w:t xml:space="preserve"> la necesidad de que estemos alerta</w:t>
      </w:r>
      <w:r w:rsidR="00D904CB">
        <w:rPr>
          <w:rFonts w:ascii="Arial Narrow" w:hAnsi="Arial Narrow"/>
          <w:sz w:val="26"/>
          <w:szCs w:val="26"/>
        </w:rPr>
        <w:t xml:space="preserve"> y</w:t>
      </w:r>
      <w:r w:rsidR="009F49BD">
        <w:rPr>
          <w:rFonts w:ascii="Arial Narrow" w:hAnsi="Arial Narrow"/>
          <w:sz w:val="26"/>
          <w:szCs w:val="26"/>
        </w:rPr>
        <w:t xml:space="preserve"> facilitaros los medios para trabajar con seguridad</w:t>
      </w:r>
      <w:r w:rsidR="00D904CB">
        <w:rPr>
          <w:rFonts w:ascii="Arial Narrow" w:hAnsi="Arial Narrow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9F49BD" w:rsidRDefault="009F49BD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 w:cs="Gadugi"/>
          <w:color w:val="000000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>El teniente de alcaldesa</w:t>
      </w:r>
      <w:r w:rsidR="005C3AD2">
        <w:rPr>
          <w:rFonts w:ascii="Arial Narrow" w:hAnsi="Arial Narrow" w:cs="Gadugi"/>
          <w:color w:val="000000"/>
          <w:sz w:val="26"/>
          <w:szCs w:val="26"/>
        </w:rPr>
        <w:t xml:space="preserve"> de Seguridad</w:t>
      </w:r>
      <w:r>
        <w:rPr>
          <w:rFonts w:ascii="Arial Narrow" w:hAnsi="Arial Narrow" w:cs="Gadugi"/>
          <w:color w:val="000000"/>
          <w:sz w:val="26"/>
          <w:szCs w:val="26"/>
        </w:rPr>
        <w:t xml:space="preserve">, </w:t>
      </w:r>
      <w:r w:rsidR="005C3AD2">
        <w:rPr>
          <w:rFonts w:ascii="Arial Narrow" w:hAnsi="Arial Narrow" w:cs="Gadugi"/>
          <w:color w:val="000000"/>
          <w:sz w:val="26"/>
          <w:szCs w:val="26"/>
        </w:rPr>
        <w:t>Ignacio Martínez</w:t>
      </w:r>
      <w:r>
        <w:rPr>
          <w:rFonts w:ascii="Arial Narrow" w:hAnsi="Arial Narrow" w:cs="Gadugi"/>
          <w:color w:val="000000"/>
          <w:sz w:val="26"/>
          <w:szCs w:val="26"/>
        </w:rPr>
        <w:t xml:space="preserve">, ha </w:t>
      </w:r>
      <w:r w:rsidR="00AA097E">
        <w:rPr>
          <w:rFonts w:ascii="Arial Narrow" w:hAnsi="Arial Narrow" w:cs="Gadugi"/>
          <w:color w:val="000000"/>
          <w:sz w:val="26"/>
          <w:szCs w:val="26"/>
        </w:rPr>
        <w:t>argumentado</w:t>
      </w:r>
      <w:r>
        <w:rPr>
          <w:rFonts w:ascii="Arial Narrow" w:hAnsi="Arial Narrow" w:cs="Gadugi"/>
          <w:color w:val="000000"/>
          <w:sz w:val="26"/>
          <w:szCs w:val="26"/>
        </w:rPr>
        <w:t xml:space="preserve"> que “la invaluable contribución de la Guardia Civil y el Cuerpo Nacional </w:t>
      </w:r>
      <w:r>
        <w:rPr>
          <w:rFonts w:ascii="Arial Narrow" w:hAnsi="Arial Narrow" w:cs="Gadugi"/>
          <w:color w:val="000000"/>
          <w:sz w:val="26"/>
          <w:szCs w:val="26"/>
        </w:rPr>
        <w:t>de Policía, en el ejercicio de sus funciones, y a menudo poniendo en juego su propia seguridad y la de sus familias</w:t>
      </w:r>
      <w:bookmarkStart w:id="0" w:name="_GoBack"/>
      <w:bookmarkEnd w:id="0"/>
      <w:r>
        <w:rPr>
          <w:rFonts w:ascii="Arial Narrow" w:hAnsi="Arial Narrow" w:cs="Gadugi"/>
          <w:color w:val="000000"/>
          <w:sz w:val="26"/>
          <w:szCs w:val="26"/>
        </w:rPr>
        <w:t xml:space="preserve"> ha sido esencial para mantener nuestra democracia y el estado de derecho”. </w:t>
      </w:r>
    </w:p>
    <w:p w:rsidR="005C3AD2" w:rsidRDefault="005C3AD2">
      <w:pPr>
        <w:jc w:val="both"/>
        <w:rPr>
          <w:rFonts w:ascii="Arial Narrow" w:hAnsi="Arial Narrow" w:cs="Gadugi"/>
          <w:color w:val="000000"/>
          <w:sz w:val="26"/>
          <w:szCs w:val="26"/>
        </w:rPr>
      </w:pPr>
    </w:p>
    <w:p w:rsidR="00E809BD" w:rsidRDefault="005C3AD2" w:rsidP="00E809B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 xml:space="preserve">Martínez </w:t>
      </w:r>
      <w:r w:rsidR="004C4C4B">
        <w:rPr>
          <w:rFonts w:ascii="Arial Narrow" w:hAnsi="Arial Narrow" w:cs="Gadugi"/>
          <w:color w:val="000000"/>
          <w:sz w:val="26"/>
          <w:szCs w:val="26"/>
        </w:rPr>
        <w:t xml:space="preserve">ha asegurado que desde "que trabajo codo con codo con los Cuerpos y Fuerzas de Seguridad del Estado por mi función como teniente de alcaldesa de Seguridad mi admiración por estos cuerpos ha aumentado aún más si cabe. Son personas normales que </w:t>
      </w:r>
      <w:r w:rsidR="005C3A5E">
        <w:rPr>
          <w:rFonts w:ascii="Arial Narrow" w:hAnsi="Arial Narrow" w:cs="Gadugi"/>
          <w:color w:val="000000"/>
          <w:sz w:val="26"/>
          <w:szCs w:val="26"/>
        </w:rPr>
        <w:t>se juegan el tipo en su profesión defendiendo nuestros derechos</w:t>
      </w:r>
      <w:r w:rsidR="00D07D45">
        <w:rPr>
          <w:rFonts w:ascii="Arial Narrow" w:hAnsi="Arial Narrow" w:cs="Gadugi"/>
          <w:color w:val="000000"/>
          <w:sz w:val="26"/>
          <w:szCs w:val="26"/>
        </w:rPr>
        <w:t xml:space="preserve">, </w:t>
      </w:r>
      <w:r w:rsidR="005C3A5E">
        <w:rPr>
          <w:rFonts w:ascii="Arial Narrow" w:hAnsi="Arial Narrow" w:cs="Gadugi"/>
          <w:color w:val="000000"/>
          <w:sz w:val="26"/>
          <w:szCs w:val="26"/>
        </w:rPr>
        <w:t>la libertad y la C</w:t>
      </w:r>
      <w:r w:rsidR="00D07D45">
        <w:rPr>
          <w:rFonts w:ascii="Arial Narrow" w:hAnsi="Arial Narrow" w:cs="Gadugi"/>
          <w:color w:val="000000"/>
          <w:sz w:val="26"/>
          <w:szCs w:val="26"/>
        </w:rPr>
        <w:t xml:space="preserve">onstitución. </w:t>
      </w:r>
      <w:r w:rsidR="005C3A5E">
        <w:rPr>
          <w:rFonts w:ascii="Arial Narrow" w:hAnsi="Arial Narrow" w:cs="Gadugi"/>
          <w:color w:val="000000"/>
          <w:sz w:val="26"/>
          <w:szCs w:val="26"/>
        </w:rPr>
        <w:t xml:space="preserve">No podemos entender como a </w:t>
      </w:r>
      <w:r w:rsidR="005C3A5E">
        <w:rPr>
          <w:rFonts w:ascii="Arial Narrow" w:hAnsi="Arial Narrow" w:cs="Gadugi"/>
          <w:color w:val="000000"/>
          <w:sz w:val="26"/>
          <w:szCs w:val="26"/>
        </w:rPr>
        <w:lastRenderedPageBreak/>
        <w:t>estas alturas su trabajo no está considerado</w:t>
      </w:r>
      <w:r w:rsidR="0079708D">
        <w:rPr>
          <w:rFonts w:ascii="Arial Narrow" w:hAnsi="Arial Narrow" w:cs="Gadugi"/>
          <w:color w:val="000000"/>
          <w:sz w:val="26"/>
          <w:szCs w:val="26"/>
        </w:rPr>
        <w:t xml:space="preserve"> aún</w:t>
      </w:r>
      <w:r w:rsidR="005C3A5E">
        <w:rPr>
          <w:rFonts w:ascii="Arial Narrow" w:hAnsi="Arial Narrow" w:cs="Gadugi"/>
          <w:color w:val="000000"/>
          <w:sz w:val="26"/>
          <w:szCs w:val="26"/>
        </w:rPr>
        <w:t xml:space="preserve"> como profesión de riesgo cuando incluso cuando </w:t>
      </w:r>
      <w:r w:rsidR="00E809BD">
        <w:rPr>
          <w:rFonts w:ascii="Arial Narrow" w:hAnsi="Arial Narrow" w:cs="Gadugi"/>
          <w:color w:val="000000"/>
          <w:sz w:val="26"/>
          <w:szCs w:val="26"/>
        </w:rPr>
        <w:t xml:space="preserve">por ejemplo, a la hora de hacer un seguro de vida, tienen que pagar un 40 % más en dicha póliza por ejercer las funciones policiales”. </w:t>
      </w:r>
    </w:p>
    <w:p w:rsidR="005C3A5E" w:rsidRDefault="005C3A5E">
      <w:pPr>
        <w:jc w:val="both"/>
        <w:rPr>
          <w:rFonts w:ascii="Arial Narrow" w:hAnsi="Arial Narrow" w:cs="Gadugi"/>
          <w:color w:val="000000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>A través de esta propos</w:t>
      </w:r>
      <w:r w:rsidR="00E809BD">
        <w:rPr>
          <w:rFonts w:ascii="Arial Narrow" w:hAnsi="Arial Narrow" w:cs="Gadugi"/>
          <w:color w:val="000000"/>
          <w:sz w:val="26"/>
          <w:szCs w:val="26"/>
        </w:rPr>
        <w:t xml:space="preserve">ición, </w:t>
      </w:r>
      <w:r w:rsidR="00AA097E">
        <w:rPr>
          <w:rFonts w:ascii="Arial Narrow" w:hAnsi="Arial Narrow" w:cs="Gadugi"/>
          <w:color w:val="000000"/>
          <w:sz w:val="26"/>
          <w:szCs w:val="26"/>
        </w:rPr>
        <w:t>se</w:t>
      </w:r>
      <w:r w:rsidR="00E809BD">
        <w:rPr>
          <w:rFonts w:ascii="Arial Narrow" w:hAnsi="Arial Narrow" w:cs="Gadugi"/>
          <w:color w:val="000000"/>
          <w:sz w:val="26"/>
          <w:szCs w:val="26"/>
        </w:rPr>
        <w:t xml:space="preserve"> defiende </w:t>
      </w:r>
      <w:r>
        <w:rPr>
          <w:rFonts w:ascii="Arial Narrow" w:hAnsi="Arial Narrow" w:cs="Gadugi"/>
          <w:color w:val="000000"/>
          <w:sz w:val="26"/>
          <w:szCs w:val="26"/>
        </w:rPr>
        <w:t>la nece</w:t>
      </w:r>
      <w:r>
        <w:rPr>
          <w:rFonts w:ascii="Arial Narrow" w:hAnsi="Arial Narrow" w:cs="Gadugi"/>
          <w:color w:val="000000"/>
          <w:sz w:val="26"/>
          <w:szCs w:val="26"/>
        </w:rPr>
        <w:t xml:space="preserve">sidad de que </w:t>
      </w:r>
      <w:r w:rsidR="00AA097E">
        <w:rPr>
          <w:rFonts w:ascii="Arial Narrow" w:hAnsi="Arial Narrow" w:cs="Gadugi"/>
          <w:color w:val="000000"/>
          <w:sz w:val="26"/>
          <w:szCs w:val="26"/>
        </w:rPr>
        <w:t>las</w:t>
      </w:r>
      <w:r>
        <w:rPr>
          <w:rFonts w:ascii="Arial Narrow" w:hAnsi="Arial Narrow" w:cs="Gadugi"/>
          <w:color w:val="000000"/>
          <w:sz w:val="26"/>
          <w:szCs w:val="26"/>
        </w:rPr>
        <w:t xml:space="preserve"> fuerzas y cuerpos de seguridad del Estado, </w:t>
      </w:r>
      <w:r w:rsidR="00AA097E">
        <w:rPr>
          <w:rFonts w:ascii="Arial Narrow" w:hAnsi="Arial Narrow" w:cs="Gadugi"/>
          <w:color w:val="000000"/>
          <w:sz w:val="26"/>
          <w:szCs w:val="26"/>
        </w:rPr>
        <w:t>"</w:t>
      </w:r>
      <w:r>
        <w:rPr>
          <w:rFonts w:ascii="Arial Narrow" w:hAnsi="Arial Narrow" w:cs="Gadugi"/>
          <w:color w:val="000000"/>
          <w:sz w:val="26"/>
          <w:szCs w:val="26"/>
        </w:rPr>
        <w:t>los garantes de la seguridad, la libertad, la democracia y la ley, cuenten con los medios materiales y técnicos necesarios y adecuados para realizar su inmenso y sacrificado trabajo, y deben,</w:t>
      </w:r>
      <w:r>
        <w:rPr>
          <w:rFonts w:ascii="Arial Narrow" w:hAnsi="Arial Narrow" w:cs="Gadugi"/>
          <w:color w:val="000000"/>
          <w:sz w:val="26"/>
          <w:szCs w:val="26"/>
        </w:rPr>
        <w:t xml:space="preserve"> además, tener las mismas retribuciones que el resto de cuerpos policiale</w:t>
      </w:r>
      <w:r w:rsidR="00E809BD">
        <w:rPr>
          <w:rFonts w:ascii="Arial Narrow" w:hAnsi="Arial Narrow" w:cs="Gadugi"/>
          <w:color w:val="000000"/>
          <w:sz w:val="26"/>
          <w:szCs w:val="26"/>
        </w:rPr>
        <w:t>s que realizan el mismo trabajo</w:t>
      </w:r>
      <w:r w:rsidR="00AA097E">
        <w:rPr>
          <w:rFonts w:ascii="Arial Narrow" w:hAnsi="Arial Narrow" w:cs="Gadugi"/>
          <w:color w:val="000000"/>
          <w:sz w:val="26"/>
          <w:szCs w:val="26"/>
        </w:rPr>
        <w:t>"</w:t>
      </w:r>
      <w:r>
        <w:rPr>
          <w:rFonts w:ascii="Arial Narrow" w:hAnsi="Arial Narrow" w:cs="Gadugi"/>
          <w:color w:val="000000"/>
          <w:sz w:val="26"/>
          <w:szCs w:val="26"/>
        </w:rPr>
        <w:t xml:space="preserve">. 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>Recientemente, tal y como ha recordado</w:t>
      </w:r>
      <w:r w:rsidR="00E809BD">
        <w:rPr>
          <w:rFonts w:ascii="Arial Narrow" w:hAnsi="Arial Narrow" w:cs="Gadugi"/>
          <w:color w:val="000000"/>
          <w:sz w:val="26"/>
          <w:szCs w:val="26"/>
        </w:rPr>
        <w:t xml:space="preserve"> el teniente de alcaldesa</w:t>
      </w:r>
      <w:r>
        <w:rPr>
          <w:rFonts w:ascii="Arial Narrow" w:hAnsi="Arial Narrow" w:cs="Gadugi"/>
          <w:color w:val="000000"/>
          <w:sz w:val="26"/>
          <w:szCs w:val="26"/>
        </w:rPr>
        <w:t xml:space="preserve">, “los asesinatos de dos guardias civiles en </w:t>
      </w:r>
      <w:proofErr w:type="spellStart"/>
      <w:r>
        <w:rPr>
          <w:rFonts w:ascii="Arial Narrow" w:hAnsi="Arial Narrow" w:cs="Gadugi"/>
          <w:color w:val="000000"/>
          <w:sz w:val="26"/>
          <w:szCs w:val="26"/>
        </w:rPr>
        <w:t>Barbate</w:t>
      </w:r>
      <w:proofErr w:type="spellEnd"/>
      <w:r>
        <w:rPr>
          <w:rFonts w:ascii="Arial Narrow" w:hAnsi="Arial Narrow" w:cs="Gadugi"/>
          <w:color w:val="000000"/>
          <w:sz w:val="26"/>
          <w:szCs w:val="26"/>
        </w:rPr>
        <w:t>, y la muerte en Los Palacios (Sevilla) de otros dos Guar</w:t>
      </w:r>
      <w:r>
        <w:rPr>
          <w:rFonts w:ascii="Arial Narrow" w:hAnsi="Arial Narrow" w:cs="Gadugi"/>
          <w:color w:val="000000"/>
          <w:sz w:val="26"/>
          <w:szCs w:val="26"/>
        </w:rPr>
        <w:t xml:space="preserve">dias Civiles arroyados por un camión cuando estaban haciendo un control, demuestran lo peligrosa que puede </w:t>
      </w:r>
      <w:r w:rsidR="00130579">
        <w:rPr>
          <w:rFonts w:ascii="Arial Narrow" w:hAnsi="Arial Narrow" w:cs="Gadugi"/>
          <w:color w:val="000000"/>
          <w:sz w:val="26"/>
          <w:szCs w:val="26"/>
        </w:rPr>
        <w:t xml:space="preserve">llegar a ser la labor policial. Y más recientemente los Guardias Civiles heridos en </w:t>
      </w:r>
      <w:proofErr w:type="spellStart"/>
      <w:r w:rsidR="00130579">
        <w:rPr>
          <w:rFonts w:ascii="Arial Narrow" w:hAnsi="Arial Narrow" w:cs="Gadugi"/>
          <w:color w:val="000000"/>
          <w:sz w:val="26"/>
          <w:szCs w:val="26"/>
        </w:rPr>
        <w:t>Chipiona</w:t>
      </w:r>
      <w:proofErr w:type="spellEnd"/>
      <w:r w:rsidR="00130579">
        <w:rPr>
          <w:rFonts w:ascii="Arial Narrow" w:hAnsi="Arial Narrow" w:cs="Gadugi"/>
          <w:color w:val="000000"/>
          <w:sz w:val="26"/>
          <w:szCs w:val="26"/>
        </w:rPr>
        <w:t xml:space="preserve"> y nuestro compañero de la Policía Local en Jerez durante la celebración del Gran Premio de Motociclismo". 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 xml:space="preserve">En este sentido, </w:t>
      </w:r>
      <w:r w:rsidR="00441F44">
        <w:rPr>
          <w:rFonts w:ascii="Arial Narrow" w:hAnsi="Arial Narrow" w:cs="Gadugi"/>
          <w:color w:val="000000"/>
          <w:sz w:val="26"/>
          <w:szCs w:val="26"/>
        </w:rPr>
        <w:t>la proposición destaca</w:t>
      </w:r>
      <w:r>
        <w:rPr>
          <w:rFonts w:ascii="Arial Narrow" w:hAnsi="Arial Narrow" w:cs="Gadugi"/>
          <w:color w:val="000000"/>
          <w:sz w:val="26"/>
          <w:szCs w:val="26"/>
        </w:rPr>
        <w:t xml:space="preserve"> que “el constante sacrificio y la elevada competencia de estos cuerpos han sido vital</w:t>
      </w:r>
      <w:r>
        <w:rPr>
          <w:rFonts w:ascii="Arial Narrow" w:hAnsi="Arial Narrow" w:cs="Gadugi"/>
          <w:color w:val="000000"/>
          <w:sz w:val="26"/>
          <w:szCs w:val="26"/>
        </w:rPr>
        <w:t>es en la historia democrática de España y merecen ser ampliamente reconocidos y valorados por la comunidad”, ya que actualmente,  “no están reconocidos como profesionales de alto riesgo”. .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 xml:space="preserve">Igualmente, </w:t>
      </w:r>
      <w:r w:rsidR="00441F44">
        <w:rPr>
          <w:rFonts w:ascii="Arial Narrow" w:hAnsi="Arial Narrow" w:cs="Gadugi"/>
          <w:color w:val="000000"/>
          <w:sz w:val="26"/>
          <w:szCs w:val="26"/>
        </w:rPr>
        <w:t>explica</w:t>
      </w:r>
      <w:r>
        <w:rPr>
          <w:rFonts w:ascii="Arial Narrow" w:hAnsi="Arial Narrow" w:cs="Gadugi"/>
          <w:color w:val="000000"/>
          <w:sz w:val="26"/>
          <w:szCs w:val="26"/>
        </w:rPr>
        <w:t xml:space="preserve"> que “las jubilaciones de Policía Naciona</w:t>
      </w:r>
      <w:r>
        <w:rPr>
          <w:rFonts w:ascii="Arial Narrow" w:hAnsi="Arial Narrow" w:cs="Gadugi"/>
          <w:color w:val="000000"/>
          <w:sz w:val="26"/>
          <w:szCs w:val="26"/>
        </w:rPr>
        <w:t>l y Guardia Civil en la actualidad se pueden solicitar con treinta años de servicio y sesenta años de edad (con la perdida correspondiente de poder adquisitivo), de igual manera que el resto de los funcionarios pertenecientes a clases pasivas”.  En cambio,</w:t>
      </w:r>
      <w:r>
        <w:rPr>
          <w:rFonts w:ascii="Arial Narrow" w:hAnsi="Arial Narrow" w:cs="Gadugi"/>
          <w:color w:val="000000"/>
          <w:sz w:val="26"/>
          <w:szCs w:val="26"/>
        </w:rPr>
        <w:t xml:space="preserve"> los policías locales y policía autonómica, (que sí tienen reconocida la profesión de riesgo) pueden solicitar la jubilación a los cincuenta y nueve años, sin pérdida de poder adquisitivo. Las pensiones son iguales para todos los miembros de clases pasivas</w:t>
      </w:r>
      <w:r>
        <w:rPr>
          <w:rFonts w:ascii="Arial Narrow" w:hAnsi="Arial Narrow" w:cs="Gadugi"/>
          <w:color w:val="000000"/>
          <w:sz w:val="26"/>
          <w:szCs w:val="26"/>
        </w:rPr>
        <w:t xml:space="preserve">, variando según los grupos de pertenencia y antigüedad, pero el trabajo no es el mismo y el riesgo, evidentemente, no es comparable”. 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b/>
          <w:bCs/>
        </w:rPr>
      </w:pPr>
      <w:r>
        <w:rPr>
          <w:rFonts w:ascii="Arial Narrow" w:hAnsi="Arial Narrow" w:cs="Gadugi"/>
          <w:b/>
          <w:bCs/>
          <w:color w:val="000000"/>
          <w:sz w:val="26"/>
          <w:szCs w:val="26"/>
        </w:rPr>
        <w:t>Equiparación salarial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 xml:space="preserve">Por otro lado, </w:t>
      </w:r>
      <w:r w:rsidR="00441F44">
        <w:rPr>
          <w:rFonts w:ascii="Arial Narrow" w:hAnsi="Arial Narrow" w:cs="Gadugi"/>
          <w:color w:val="000000"/>
          <w:sz w:val="26"/>
          <w:szCs w:val="26"/>
        </w:rPr>
        <w:t>la proposición</w:t>
      </w:r>
      <w:r>
        <w:rPr>
          <w:rFonts w:ascii="Arial Narrow" w:hAnsi="Arial Narrow" w:cs="Gadugi"/>
          <w:color w:val="000000"/>
          <w:sz w:val="26"/>
          <w:szCs w:val="26"/>
        </w:rPr>
        <w:t xml:space="preserve"> </w:t>
      </w:r>
      <w:r w:rsidR="00441F44">
        <w:rPr>
          <w:rFonts w:ascii="Arial Narrow" w:hAnsi="Arial Narrow" w:cs="Gadugi"/>
          <w:color w:val="000000"/>
          <w:sz w:val="26"/>
          <w:szCs w:val="26"/>
        </w:rPr>
        <w:t>hace referencia</w:t>
      </w:r>
      <w:r>
        <w:rPr>
          <w:rFonts w:ascii="Arial Narrow" w:hAnsi="Arial Narrow" w:cs="Gadugi"/>
          <w:color w:val="000000"/>
          <w:sz w:val="26"/>
          <w:szCs w:val="26"/>
        </w:rPr>
        <w:t xml:space="preserve"> a otra “reivindicación </w:t>
      </w:r>
      <w:r>
        <w:rPr>
          <w:rFonts w:ascii="Arial Narrow" w:hAnsi="Arial Narrow" w:cs="Gadugi"/>
          <w:color w:val="000000"/>
          <w:sz w:val="26"/>
          <w:szCs w:val="26"/>
        </w:rPr>
        <w:t xml:space="preserve">justa que reclama este cuerpo”, como es “su equiparación salarial real y total con los cuerpos policiales autonómicos que desarrollan funciones similares. El 12 de marzo de 2018, el Ministerio del Interior del Gobierno del Partido Popular firmó un acuerdo </w:t>
      </w:r>
      <w:r>
        <w:rPr>
          <w:rFonts w:ascii="Arial Narrow" w:hAnsi="Arial Narrow" w:cs="Gadugi"/>
          <w:color w:val="000000"/>
          <w:sz w:val="26"/>
          <w:szCs w:val="26"/>
        </w:rPr>
        <w:t xml:space="preserve">de equiparación salarial con los principales sindicatos de la Policía Nacional y las principales asociaciones profesionales de la Guardia Civil”. 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 xml:space="preserve">En ese acuerdo, </w:t>
      </w:r>
      <w:r>
        <w:rPr>
          <w:rFonts w:ascii="Arial Narrow" w:hAnsi="Arial Narrow" w:cs="Gadugi"/>
          <w:color w:val="000000"/>
          <w:sz w:val="26"/>
          <w:szCs w:val="26"/>
        </w:rPr>
        <w:t>se abordó un proceso de equiparación gradual en tres ejercicios –20</w:t>
      </w:r>
      <w:r>
        <w:rPr>
          <w:rFonts w:ascii="Arial Narrow" w:hAnsi="Arial Narrow" w:cs="Gadugi"/>
          <w:color w:val="000000"/>
          <w:sz w:val="26"/>
          <w:szCs w:val="26"/>
        </w:rPr>
        <w:t xml:space="preserve">18, 2019 y 2020–, con un importe de 807 millones de euros.  Al </w:t>
      </w:r>
      <w:r>
        <w:rPr>
          <w:rFonts w:ascii="Arial Narrow" w:hAnsi="Arial Narrow" w:cs="Gadugi"/>
          <w:color w:val="000000"/>
          <w:sz w:val="26"/>
          <w:szCs w:val="26"/>
        </w:rPr>
        <w:lastRenderedPageBreak/>
        <w:t>mismo tiempo, el Gobierno se comprometió a contratar los servicios de una consultora externa que fijase los criterios y las cantidades necesarias para la equiparación salarial real, total y abs</w:t>
      </w:r>
      <w:r>
        <w:rPr>
          <w:rFonts w:ascii="Arial Narrow" w:hAnsi="Arial Narrow" w:cs="Gadugi"/>
          <w:color w:val="000000"/>
          <w:sz w:val="26"/>
          <w:szCs w:val="26"/>
        </w:rPr>
        <w:t xml:space="preserve">oluta”. 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BD6D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 xml:space="preserve">En relación a ello, ha lamentado que “en la actualidad hemos tenido conocimiento de que el Gobierno del Partido Socialista despreció el informe inicial de la auditoría, que suponía poner más dinero para la equiparación, y que incluso encargó uno </w:t>
      </w:r>
      <w:r>
        <w:rPr>
          <w:rFonts w:ascii="Arial Narrow" w:hAnsi="Arial Narrow" w:cs="Gadugi"/>
          <w:color w:val="000000"/>
          <w:sz w:val="26"/>
          <w:szCs w:val="26"/>
        </w:rPr>
        <w:t xml:space="preserve">nuevo que tuviera en cuenta las nuevas pretensiones del Gobierno de no seguir incrementando las cantidades necesarias para la equiparación real, total y absoluta de las fuerzas y cuerpos de seguridad”. </w:t>
      </w: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7D5C66">
      <w:pPr>
        <w:jc w:val="both"/>
        <w:rPr>
          <w:rFonts w:ascii="Arial Narrow" w:hAnsi="Arial Narrow" w:cs="Arial"/>
          <w:sz w:val="26"/>
          <w:szCs w:val="26"/>
        </w:rPr>
      </w:pPr>
    </w:p>
    <w:tbl>
      <w:tblPr>
        <w:tblW w:w="7649" w:type="dxa"/>
        <w:tblInd w:w="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7D5C66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C66" w:rsidRDefault="00BD6D1B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</w:t>
            </w:r>
          </w:p>
        </w:tc>
      </w:tr>
    </w:tbl>
    <w:p w:rsidR="007D5C66" w:rsidRDefault="007D5C66">
      <w:pPr>
        <w:rPr>
          <w:rFonts w:ascii="Arial Narrow" w:eastAsia="Arial" w:hAnsi="Arial Narrow" w:cs="Calibri"/>
          <w:b/>
          <w:bCs/>
          <w:color w:val="000000"/>
          <w:sz w:val="26"/>
          <w:szCs w:val="26"/>
          <w:lang w:eastAsia="en-US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jc w:val="both"/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p w:rsidR="007D5C66" w:rsidRDefault="007D5C66">
      <w:pPr>
        <w:rPr>
          <w:rFonts w:ascii="Arial Narrow" w:hAnsi="Arial Narrow"/>
          <w:sz w:val="26"/>
          <w:szCs w:val="26"/>
        </w:rPr>
      </w:pPr>
    </w:p>
    <w:sectPr w:rsidR="007D5C66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6D1B">
      <w:r>
        <w:separator/>
      </w:r>
    </w:p>
  </w:endnote>
  <w:endnote w:type="continuationSeparator" w:id="0">
    <w:p w:rsidR="00000000" w:rsidRDefault="00B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6D1B">
      <w:r>
        <w:separator/>
      </w:r>
    </w:p>
  </w:footnote>
  <w:footnote w:type="continuationSeparator" w:id="0">
    <w:p w:rsidR="00000000" w:rsidRDefault="00BD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66" w:rsidRDefault="007D5C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66" w:rsidRDefault="00BD6D1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66" w:rsidRDefault="00BD6D1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3FEB"/>
    <w:multiLevelType w:val="multilevel"/>
    <w:tmpl w:val="C9125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551D11"/>
    <w:multiLevelType w:val="multilevel"/>
    <w:tmpl w:val="B6EC08A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7D5C66"/>
    <w:rsid w:val="000C57CF"/>
    <w:rsid w:val="00130579"/>
    <w:rsid w:val="00441F44"/>
    <w:rsid w:val="004C4C4B"/>
    <w:rsid w:val="00590532"/>
    <w:rsid w:val="005C3A5E"/>
    <w:rsid w:val="005C3AD2"/>
    <w:rsid w:val="0079708D"/>
    <w:rsid w:val="007D5C66"/>
    <w:rsid w:val="009F49BD"/>
    <w:rsid w:val="00AA097E"/>
    <w:rsid w:val="00B10025"/>
    <w:rsid w:val="00BD6D1B"/>
    <w:rsid w:val="00D07D45"/>
    <w:rsid w:val="00D904CB"/>
    <w:rsid w:val="00E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E39A9-4D7E-4FE0-AAF9-1D90441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paragraph" w:customStyle="1" w:styleId="Encabezado3">
    <w:name w:val="Encabezado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  <w:lang w:val="en-US"/>
    </w:rPr>
  </w:style>
  <w:style w:type="paragraph" w:styleId="Textoindependiente2">
    <w:name w:val="Body Text 2"/>
    <w:basedOn w:val="Normal"/>
    <w:qFormat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57</cp:revision>
  <dcterms:created xsi:type="dcterms:W3CDTF">2008-04-18T08:06:00Z</dcterms:created>
  <dcterms:modified xsi:type="dcterms:W3CDTF">2024-04-30T07:50:00Z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