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before="280" w:after="280"/>
        <w:rPr/>
      </w:pPr>
      <w:r>
        <w:rPr>
          <w:rStyle w:val="Nfasis1"/>
          <w:rFonts w:eastAsia="Tahoma" w:cs="Arial" w:ascii="Arial Narrow" w:hAnsi="Arial Narrow"/>
          <w:b/>
          <w:bCs/>
          <w:i w:val="false"/>
          <w:iCs w:val="false"/>
          <w:sz w:val="40"/>
          <w:szCs w:val="40"/>
        </w:rPr>
        <w:t>El Ayuntamiento pondrá fin, 3 años después, al hundimiento de la Plaza del Carbón</w:t>
      </w:r>
    </w:p>
    <w:p>
      <w:pPr>
        <w:pStyle w:val="Normal"/>
        <w:widowControl w:val="false"/>
        <w:rPr>
          <w:rFonts w:ascii="Arial Narrow" w:hAnsi="Arial Narrow"/>
        </w:rPr>
      </w:pPr>
      <w:r>
        <w:rPr>
          <w:rFonts w:eastAsia="Tahoma" w:cs="Gadugi" w:ascii="Arial Narrow" w:hAnsi="Arial Narrow"/>
          <w:sz w:val="32"/>
          <w:szCs w:val="32"/>
        </w:rPr>
        <w:t>La Junta de Gobierno Local aprueba una inversión de 1,5 millones de euros para dar una solución definitiva a las averías y hundimientos que presenta esta zona y poder reabrirla al tráfico</w:t>
      </w:r>
    </w:p>
    <w:p>
      <w:pPr>
        <w:pStyle w:val="Normal"/>
        <w:widowControl w:val="false"/>
        <w:jc w:val="both"/>
        <w:rPr>
          <w:rFonts w:ascii="Arial Narrow" w:hAnsi="Arial Narrow" w:cs="Arial"/>
        </w:rPr>
      </w:pPr>
      <w:r>
        <w:rPr>
          <w:rFonts w:cs="Arial" w:ascii="Arial Narrow" w:hAnsi="Arial Narrow"/>
        </w:rPr>
      </w:r>
    </w:p>
    <w:p>
      <w:pPr>
        <w:pStyle w:val="Normal"/>
        <w:jc w:val="both"/>
        <w:rPr>
          <w:rFonts w:ascii="Arial Narrow" w:hAnsi="Arial Narrow"/>
          <w:sz w:val="26"/>
          <w:szCs w:val="26"/>
        </w:rPr>
      </w:pPr>
      <w:r>
        <w:rPr>
          <w:rFonts w:eastAsia="Tahoma" w:cs="Arial" w:ascii="Arial Narrow" w:hAnsi="Arial Narrow"/>
          <w:b/>
          <w:bCs/>
          <w:sz w:val="26"/>
          <w:szCs w:val="26"/>
        </w:rPr>
        <w:t xml:space="preserve">31 de mayo de 2024. </w:t>
      </w:r>
      <w:r>
        <w:rPr>
          <w:rFonts w:eastAsia="Tahoma" w:cs="Arial" w:ascii="Arial Narrow" w:hAnsi="Arial Narrow"/>
          <w:sz w:val="26"/>
          <w:szCs w:val="26"/>
        </w:rPr>
        <w:t xml:space="preserve">La Junta de Gobierno Local, presidida por la alcaldesa, María José García-Pelayo, ha aprobado una inversión de </w:t>
      </w:r>
      <w:r>
        <w:rPr>
          <w:rFonts w:eastAsia="SimSun" w:cs="Calibri" w:ascii="Arial Narrow" w:hAnsi="Arial Narrow"/>
          <w:sz w:val="26"/>
          <w:szCs w:val="26"/>
          <w:lang w:bidi="hi-IN"/>
        </w:rPr>
        <w:t xml:space="preserve">1.561.289,76 </w:t>
      </w:r>
      <w:r>
        <w:rPr>
          <w:rFonts w:eastAsia="Tahoma" w:cs="Arial" w:ascii="Arial Narrow" w:hAnsi="Arial Narrow"/>
          <w:sz w:val="26"/>
          <w:szCs w:val="26"/>
        </w:rPr>
        <w:t>euros para la ejecución del proyecto de</w:t>
      </w:r>
      <w:r>
        <w:rPr>
          <w:rFonts w:cs="Candara" w:ascii="Arial Narrow" w:hAnsi="Arial Narrow"/>
          <w:sz w:val="26"/>
          <w:szCs w:val="26"/>
        </w:rPr>
        <w:t xml:space="preserve"> renovación de redes de abastecimiento y saneamiento en la Ronda Muleros y el entorno de la Plaza del Carbón, que </w:t>
      </w:r>
      <w:r>
        <w:rPr>
          <w:rFonts w:cs="Candara" w:ascii="Arial Narrow" w:hAnsi="Arial Narrow"/>
          <w:sz w:val="26"/>
          <w:szCs w:val="26"/>
        </w:rPr>
        <w:t xml:space="preserve">ha sido redactado por </w:t>
      </w:r>
      <w:r>
        <w:rPr>
          <w:rFonts w:cs="Candara" w:ascii="Arial Narrow" w:hAnsi="Arial Narrow"/>
          <w:sz w:val="26"/>
          <w:szCs w:val="26"/>
        </w:rPr>
        <w:t xml:space="preserve">Aquajerez </w:t>
      </w:r>
      <w:r>
        <w:rPr>
          <w:rFonts w:cs="Candara" w:ascii="Arial Narrow" w:hAnsi="Arial Narrow"/>
          <w:sz w:val="26"/>
          <w:szCs w:val="26"/>
        </w:rPr>
        <w:t xml:space="preserve">y se incluye </w:t>
      </w:r>
      <w:r>
        <w:rPr>
          <w:rFonts w:cs="Candara" w:ascii="Arial Narrow" w:hAnsi="Arial Narrow"/>
          <w:sz w:val="26"/>
          <w:szCs w:val="26"/>
        </w:rPr>
        <w:t xml:space="preserve">dentro de las inversiones anuales que realiza la concesionaria, por valor de </w:t>
      </w:r>
      <w:r>
        <w:rPr>
          <w:rFonts w:cs="Candara" w:ascii="Arial Narrow" w:hAnsi="Arial Narrow"/>
          <w:sz w:val="26"/>
          <w:szCs w:val="26"/>
        </w:rPr>
        <w:t>más de un</w:t>
      </w:r>
      <w:r>
        <w:rPr>
          <w:rFonts w:cs="Candara" w:ascii="Arial Narrow" w:hAnsi="Arial Narrow"/>
          <w:sz w:val="26"/>
          <w:szCs w:val="26"/>
        </w:rPr>
        <w:t xml:space="preserve"> </w:t>
      </w:r>
      <w:r>
        <w:rPr>
          <w:rFonts w:ascii="Arial Narrow" w:hAnsi="Arial Narrow"/>
          <w:sz w:val="26"/>
          <w:szCs w:val="26"/>
        </w:rPr>
        <w:t xml:space="preserve">1.000.000 de euros. Este proyecto tal y como ha </w:t>
      </w:r>
      <w:r>
        <w:rPr>
          <w:rFonts w:ascii="Arial Narrow" w:hAnsi="Arial Narrow"/>
          <w:sz w:val="26"/>
          <w:szCs w:val="26"/>
        </w:rPr>
        <w:t>subrayado</w:t>
      </w:r>
      <w:r>
        <w:rPr>
          <w:rFonts w:ascii="Arial Narrow" w:hAnsi="Arial Narrow"/>
          <w:sz w:val="26"/>
          <w:szCs w:val="26"/>
        </w:rPr>
        <w:t xml:space="preserve"> el teniente de alcaldesa de Servicios Públicos, Jaime Espinar, “pondrá fin, 3 años después, al hundimiento de la Plaza del Carbón”. </w:t>
      </w:r>
      <w:r>
        <w:rPr>
          <w:rFonts w:ascii="Arial Narrow" w:hAnsi="Arial Narrow"/>
          <w:sz w:val="26"/>
          <w:szCs w:val="26"/>
        </w:rPr>
        <w:t xml:space="preserve">Una vez aprobada la inversión, el siguiente paso será la solicitud de autorización por parte de Aquajerez para la ejecución de las obras. </w:t>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t xml:space="preserve">Con estas obras, que contemplan un plazo de ejecución de ocho meses, “estamos dando respuesta a muchos vecinos y residentes, ya que resolverá los problemas estructurales que han afectado a esta área desde que se produjo el hundimiento de la solería, en el año 2022, causando muchas molestias para la población y afectando negativamente al servicio de abastecimiento y saneamiento en este entorno”, ha señalado el responsable municipal. </w:t>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t xml:space="preserve">Además, este hundimiento ha causado desplazamientos y corrimientos del terreno, impactando negativamente en la integridad de la infraestructura subterránea. “Así pues, esta intervención garantizará la estabilidad y funcionalidad de las redes de abastecimiento de agua y saneamiento, mejorando la calidad de vida de los residentes”. </w:t>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t xml:space="preserve">También la delegada de Urbanismo, Belén de la Cuadra, ha resaltado la importancia de estas obras, recordando que “la Plaza del Carbón es un vial de comunicación con el centro histórico de Jerez, y, por tanto, esta renovación permitirá la reapertura de esta vía, facilitando las conexiones tanto para los residentes como para los visitantes. Esto no solo mejorará la movilidad urbana, sino que también revitalizará la actividad comercial y turística en la zona, ya que la clausura prolongada de la Plaza del Carbón ha tenido un impacto negativo en los comerciantes locales y en los residentes”, ha señalado.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Asimismo, la zona de intervención incluye el acceso a un garaje público, cuya accesibilidad se ha visto comprometida debido a las restricciones impuestas por el hundimiento y las condiciones deterioradas de la infraestructura. La finalización de las obras de renovación garantizará un acceso seguro y conveniente a este garaje, beneficiando tanto a los usuarios regulares como a los visitantes ocasionales. </w:t>
      </w:r>
    </w:p>
    <w:p>
      <w:pPr>
        <w:pStyle w:val="Normal"/>
        <w:rPr>
          <w:b/>
          <w:bCs/>
          <w:u w:val="single"/>
        </w:rPr>
      </w:pPr>
      <w:r>
        <w:rPr>
          <w:b/>
          <w:bCs/>
          <w:u w:val="single"/>
        </w:rPr>
      </w:r>
    </w:p>
    <w:p>
      <w:pPr>
        <w:pStyle w:val="Normal"/>
        <w:rPr>
          <w:rFonts w:ascii="Arial Narrow" w:hAnsi="Arial Narrow"/>
          <w:sz w:val="26"/>
          <w:szCs w:val="26"/>
        </w:rPr>
      </w:pPr>
      <w:r>
        <w:rPr>
          <w:rFonts w:ascii="Arial Narrow" w:hAnsi="Arial Narrow"/>
          <w:b/>
          <w:bCs/>
          <w:sz w:val="26"/>
          <w:szCs w:val="26"/>
        </w:rPr>
        <w:t>Descripción de las obras</w:t>
      </w:r>
    </w:p>
    <w:p>
      <w:pPr>
        <w:pStyle w:val="Normal"/>
        <w:rPr>
          <w:b/>
          <w:bCs/>
          <w:u w:val="single"/>
        </w:rPr>
      </w:pPr>
      <w:r>
        <w:rPr>
          <w:b/>
          <w:bCs/>
          <w:u w:val="single"/>
        </w:rPr>
      </w:r>
    </w:p>
    <w:p>
      <w:pPr>
        <w:pStyle w:val="Normal"/>
        <w:jc w:val="both"/>
        <w:rPr>
          <w:rFonts w:ascii="Arial Narrow" w:hAnsi="Arial Narrow"/>
          <w:sz w:val="26"/>
          <w:szCs w:val="26"/>
        </w:rPr>
      </w:pPr>
      <w:r>
        <w:rPr>
          <w:rFonts w:ascii="Arial Narrow" w:hAnsi="Arial Narrow"/>
          <w:sz w:val="26"/>
          <w:szCs w:val="26"/>
        </w:rPr>
        <w:t xml:space="preserve">Las actuaciones de renovación de redes incluidas en este proyecto afectan a los siguientes viales: avenida de Torresoto, Ronda de Muleros, Plaza del Carbón, Plaza Silos, y calles Cruz de la Palma, Plaza Silos, Rodrigo de León, Estereros y Vicario.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Para </w:t>
      </w:r>
      <w:bookmarkStart w:id="0" w:name="_GoBack"/>
      <w:bookmarkEnd w:id="0"/>
      <w:r>
        <w:rPr>
          <w:rFonts w:ascii="Arial Narrow" w:hAnsi="Arial Narrow"/>
          <w:sz w:val="26"/>
          <w:szCs w:val="26"/>
        </w:rPr>
        <w:t xml:space="preserve">la renovación de estas infraestructuras será necesario ejecutar previamente los trabajos precisos para la consolidación del terreno de la zona, así como llevar a cabo también desvíos de determinados servicios que se verán afectados por las labores de consolidación; y una vez ejecutados, se procederá a la reposición de los viales y zonas peatonales afectadas.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renovación de redes de abastecimiento incluye la sustitución de tuberías y la instalación de válvulas de control, así como mejoras en la presión y calidad del agua. En cuanto al saneamiento, el proyecto contempla la sustitución de colectores y la instalación de sistemas de tratamiento de aguas residuales, además de mejoras en la capacidad de drenaje.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rPr>
          <w:b/>
          <w:bCs/>
          <w:u w:val="single"/>
        </w:rPr>
      </w:pPr>
      <w:r>
        <w:rPr>
          <w:b/>
          <w:bCs/>
          <w:u w:val="single"/>
        </w:rPr>
      </w:r>
    </w:p>
    <w:p>
      <w:pPr>
        <w:pStyle w:val="Normal"/>
        <w:rPr>
          <w:rFonts w:ascii="Arial Narrow" w:hAnsi="Arial Narrow"/>
          <w:sz w:val="26"/>
          <w:szCs w:val="26"/>
        </w:rPr>
      </w:pPr>
      <w:r>
        <w:rPr>
          <w:rFonts w:ascii="Arial Narrow" w:hAnsi="Arial Narrow"/>
          <w:sz w:val="26"/>
          <w:szCs w:val="26"/>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character" w:styleId="Strong1" w:customStyle="1">
    <w:name w:val="Strong1"/>
    <w:qFormat/>
    <w:rPr>
      <w:b/>
      <w:bCs/>
    </w:rPr>
  </w:style>
  <w:style w:type="character" w:styleId="DefaultParagraphFont1" w:customStyle="1">
    <w:name w:val="Default Paragraph Font1"/>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Arial" w:hAnsi="Liberation Sans;Arial"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customStyle="1">
    <w:name w:val="Text body"/>
    <w:basedOn w:val="Normal"/>
    <w:qFormat/>
    <w:pPr>
      <w:spacing w:lineRule="auto" w:line="276" w:before="0" w:after="140"/>
      <w:textAlignment w:val="baseline"/>
    </w:pPr>
    <w:rPr>
      <w:rFonts w:ascii="Liberation Serif" w:hAnsi="Liberation Serif" w:eastAsia="NSimSun" w:cs="Arial"/>
      <w:szCs w:val="24"/>
      <w:lang w:bidi="hi-IN"/>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Times New Roman"/>
      <w:color w:val="00000A"/>
      <w:kern w:val="2"/>
      <w:sz w:val="22"/>
      <w:szCs w:val="22"/>
      <w:lang w:eastAsia="zh-CN" w:val="es-ES" w:bidi="ar-SA"/>
    </w:rPr>
  </w:style>
  <w:style w:type="paragraph" w:styleId="Caption2" w:customStyle="1">
    <w:name w:val="caption2"/>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3" w:customStyle="1">
    <w:name w:val="WW8Num3"/>
    <w:qFormat/>
  </w:style>
  <w:style w:type="numbering" w:styleId="WW8Num1" w:customStyle="1">
    <w:name w:val="WW8Num1"/>
    <w:qFormat/>
  </w:style>
  <w:style w:type="numbering" w:styleId="WW8Num2" w:customStyle="1">
    <w:name w:val="WW8Num2"/>
    <w:qFormat/>
  </w:style>
  <w:style w:type="numbering" w:styleId="WW8Num12" w:customStyle="1">
    <w:name w:val="WW8Num1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535</TotalTime>
  <Application>LibreOffice/7.6.5.2$Windows_X86_64 LibreOffice_project/38d5f62f85355c192ef5f1dd47c5c0c0c6d6598b</Application>
  <AppVersion>15.0000</AppVersion>
  <Pages>2</Pages>
  <Words>602</Words>
  <Characters>3202</Characters>
  <CharactersWithSpaces>3801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2024-05-31T11:43:00Z</cp:lastPrinted>
  <dcterms:modified xsi:type="dcterms:W3CDTF">2024-05-31T13:17:12Z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