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6D30E4" w14:textId="77777777" w:rsidR="000662AB" w:rsidRDefault="000662AB" w:rsidP="000662AB">
      <w:pPr>
        <w:rPr>
          <w:rFonts w:ascii="Arial Narrow" w:hAnsi="Arial Narrow"/>
          <w:sz w:val="40"/>
          <w:szCs w:val="40"/>
        </w:rPr>
      </w:pPr>
    </w:p>
    <w:p w14:paraId="7FF964EE" w14:textId="28630169" w:rsidR="000662AB" w:rsidRDefault="008A1DE8" w:rsidP="000662AB">
      <w:pPr>
        <w:rPr>
          <w:rFonts w:ascii="Arial Narrow" w:hAnsi="Arial Narrow" w:cs="Arial"/>
          <w:b/>
          <w:bCs/>
          <w:sz w:val="40"/>
          <w:szCs w:val="40"/>
        </w:rPr>
      </w:pPr>
      <w:r>
        <w:rPr>
          <w:rFonts w:ascii="Arial Narrow" w:hAnsi="Arial Narrow" w:cs="Arial"/>
          <w:b/>
          <w:bCs/>
          <w:sz w:val="40"/>
          <w:szCs w:val="40"/>
        </w:rPr>
        <w:t>El Museo Arqueológico participará en una exposición del Conjunto Arqueológico Dólmenes de Antequera con 14 piezas</w:t>
      </w:r>
    </w:p>
    <w:p w14:paraId="1DA1F0F4" w14:textId="77777777" w:rsidR="000662AB" w:rsidRDefault="000662AB" w:rsidP="000662AB">
      <w:pPr>
        <w:rPr>
          <w:rFonts w:ascii="Arial Narrow" w:hAnsi="Arial Narrow" w:cs="Arial"/>
          <w:b/>
          <w:bCs/>
          <w:sz w:val="40"/>
          <w:szCs w:val="40"/>
        </w:rPr>
      </w:pPr>
    </w:p>
    <w:p w14:paraId="68A58918" w14:textId="28FE33B7" w:rsidR="000662AB" w:rsidRDefault="008A1DE8" w:rsidP="000662AB">
      <w:pPr>
        <w:rPr>
          <w:rFonts w:ascii="Arial Narrow" w:hAnsi="Arial Narrow" w:cs="Arial"/>
          <w:sz w:val="36"/>
          <w:szCs w:val="36"/>
        </w:rPr>
      </w:pPr>
      <w:r>
        <w:rPr>
          <w:rFonts w:ascii="Arial Narrow" w:hAnsi="Arial Narrow" w:cs="Arial"/>
          <w:sz w:val="36"/>
          <w:szCs w:val="36"/>
        </w:rPr>
        <w:t>La Junta de Gobierno Local aprueba también la declaración de actos de especial proyección cultural para la ciudad de los ciclos que se celebran en julio y agosto</w:t>
      </w:r>
    </w:p>
    <w:p w14:paraId="114FD635" w14:textId="77777777" w:rsidR="008A1DE8" w:rsidRDefault="008A1DE8" w:rsidP="000662AB">
      <w:pPr>
        <w:rPr>
          <w:rFonts w:ascii="Arial Narrow" w:hAnsi="Arial Narrow" w:cs="Arial"/>
          <w:sz w:val="36"/>
          <w:szCs w:val="36"/>
        </w:rPr>
      </w:pPr>
    </w:p>
    <w:p w14:paraId="3189505C" w14:textId="77777777" w:rsidR="000662AB" w:rsidRDefault="000662AB" w:rsidP="000662AB">
      <w:pPr>
        <w:jc w:val="both"/>
        <w:rPr>
          <w:rFonts w:ascii="Arial Narrow" w:eastAsia="Tahoma" w:hAnsi="Arial Narrow" w:cs="Arial"/>
          <w:b/>
          <w:bCs/>
          <w:sz w:val="26"/>
          <w:szCs w:val="26"/>
        </w:rPr>
      </w:pPr>
    </w:p>
    <w:p w14:paraId="7715EE5B" w14:textId="0B9C491E" w:rsidR="008A1DE8" w:rsidRPr="00231B8C" w:rsidRDefault="008A1DE8" w:rsidP="008A1DE8">
      <w:pPr>
        <w:jc w:val="both"/>
        <w:rPr>
          <w:rFonts w:ascii="Arial Narrow" w:hAnsi="Arial Narrow" w:cstheme="minorHAnsi"/>
          <w:sz w:val="26"/>
          <w:szCs w:val="26"/>
        </w:rPr>
      </w:pPr>
      <w:r>
        <w:rPr>
          <w:rFonts w:ascii="Arial Narrow" w:eastAsia="Tahoma" w:hAnsi="Arial Narrow" w:cs="Arial"/>
          <w:b/>
          <w:bCs/>
          <w:sz w:val="26"/>
          <w:szCs w:val="26"/>
        </w:rPr>
        <w:t>1 de jul</w:t>
      </w:r>
      <w:r w:rsidR="000662AB">
        <w:rPr>
          <w:rFonts w:ascii="Arial Narrow" w:eastAsia="Tahoma" w:hAnsi="Arial Narrow" w:cs="Arial"/>
          <w:b/>
          <w:bCs/>
          <w:sz w:val="26"/>
          <w:szCs w:val="26"/>
        </w:rPr>
        <w:t>io de 2024</w:t>
      </w:r>
      <w:r w:rsidR="000662AB">
        <w:rPr>
          <w:rFonts w:ascii="Arial Narrow" w:eastAsia="Tahoma" w:hAnsi="Arial Narrow" w:cs="Arial"/>
          <w:sz w:val="26"/>
          <w:szCs w:val="26"/>
        </w:rPr>
        <w:t xml:space="preserve">. </w:t>
      </w:r>
      <w:r>
        <w:rPr>
          <w:rFonts w:ascii="Arial Narrow" w:eastAsia="Tahoma" w:hAnsi="Arial Narrow" w:cs="Arial"/>
          <w:sz w:val="26"/>
          <w:szCs w:val="26"/>
        </w:rPr>
        <w:t xml:space="preserve">El Museo Arqueológico de Jerez participará con 14 piezas en la exposición 'El </w:t>
      </w:r>
      <w:proofErr w:type="spellStart"/>
      <w:r>
        <w:rPr>
          <w:rFonts w:ascii="Arial Narrow" w:eastAsia="Tahoma" w:hAnsi="Arial Narrow" w:cs="Arial"/>
          <w:sz w:val="26"/>
          <w:szCs w:val="26"/>
        </w:rPr>
        <w:t>Megalitismo</w:t>
      </w:r>
      <w:proofErr w:type="spellEnd"/>
      <w:r>
        <w:rPr>
          <w:rFonts w:ascii="Arial Narrow" w:eastAsia="Tahoma" w:hAnsi="Arial Narrow" w:cs="Arial"/>
          <w:sz w:val="26"/>
          <w:szCs w:val="26"/>
        </w:rPr>
        <w:t xml:space="preserve"> en Tierras de Cádiz' que tendrá lu</w:t>
      </w:r>
      <w:r w:rsidR="00231B8C">
        <w:rPr>
          <w:rFonts w:ascii="Arial Narrow" w:eastAsia="Tahoma" w:hAnsi="Arial Narrow" w:cs="Arial"/>
          <w:sz w:val="26"/>
          <w:szCs w:val="26"/>
        </w:rPr>
        <w:t>gar del 15 de julio de 2024 al 15 de julio de 2025 en el Museo del Conjunto Arqueológico Dólmenes de Antequera, dependiente de la Consejería de Cultura y Patrimonio Histórico de la Junta de Andalucía</w:t>
      </w:r>
      <w:r w:rsidR="00231B8C" w:rsidRPr="00231B8C">
        <w:rPr>
          <w:rFonts w:ascii="Arial Narrow" w:eastAsia="Tahoma" w:hAnsi="Arial Narrow" w:cstheme="minorHAnsi"/>
          <w:sz w:val="26"/>
          <w:szCs w:val="26"/>
        </w:rPr>
        <w:t xml:space="preserve">.  </w:t>
      </w:r>
      <w:r w:rsidRPr="00231B8C">
        <w:rPr>
          <w:rFonts w:ascii="Arial Narrow" w:hAnsi="Arial Narrow" w:cstheme="minorHAnsi"/>
          <w:bCs/>
          <w:sz w:val="26"/>
          <w:szCs w:val="26"/>
        </w:rPr>
        <w:t>Fundamentalmente se expondrán piezas de la Edad de Cobre (IV-II Milenio antes de C)</w:t>
      </w:r>
    </w:p>
    <w:p w14:paraId="1F660FF9" w14:textId="77777777" w:rsidR="008A1DE8" w:rsidRPr="00525CDB" w:rsidRDefault="008A1DE8" w:rsidP="008A1DE8">
      <w:pPr>
        <w:jc w:val="both"/>
        <w:rPr>
          <w:rFonts w:ascii="Gadugi" w:hAnsi="Gadugi"/>
          <w:bCs/>
          <w:sz w:val="28"/>
          <w:szCs w:val="28"/>
        </w:rPr>
      </w:pPr>
    </w:p>
    <w:p w14:paraId="0270A2A9" w14:textId="77777777" w:rsidR="008A1DE8" w:rsidRPr="00231B8C" w:rsidRDefault="008A1DE8" w:rsidP="008A1DE8">
      <w:pPr>
        <w:jc w:val="both"/>
        <w:rPr>
          <w:rFonts w:ascii="Arial Narrow" w:hAnsi="Arial Narrow"/>
          <w:bCs/>
          <w:sz w:val="26"/>
          <w:szCs w:val="26"/>
        </w:rPr>
      </w:pPr>
      <w:r w:rsidRPr="00231B8C">
        <w:rPr>
          <w:rFonts w:ascii="Arial Narrow" w:hAnsi="Arial Narrow"/>
          <w:bCs/>
          <w:sz w:val="26"/>
          <w:szCs w:val="26"/>
        </w:rPr>
        <w:t xml:space="preserve">Esta exposición avanza en el conocimiento a nivel territorial del </w:t>
      </w:r>
      <w:proofErr w:type="spellStart"/>
      <w:r w:rsidRPr="00231B8C">
        <w:rPr>
          <w:rFonts w:ascii="Arial Narrow" w:hAnsi="Arial Narrow"/>
          <w:bCs/>
          <w:sz w:val="26"/>
          <w:szCs w:val="26"/>
        </w:rPr>
        <w:t>megalitismo</w:t>
      </w:r>
      <w:proofErr w:type="spellEnd"/>
      <w:r w:rsidRPr="00231B8C">
        <w:rPr>
          <w:rFonts w:ascii="Arial Narrow" w:hAnsi="Arial Narrow"/>
          <w:bCs/>
          <w:sz w:val="26"/>
          <w:szCs w:val="26"/>
        </w:rPr>
        <w:t xml:space="preserve"> en Andalucía y será un magnífico exponente, en el que el Museo de Jerez tiene una especial relevancia, con destacados yacimientos para este periodo en su extenso término municipal.</w:t>
      </w:r>
    </w:p>
    <w:p w14:paraId="361CE1D8" w14:textId="77777777" w:rsidR="008A1DE8" w:rsidRPr="00231B8C" w:rsidRDefault="008A1DE8" w:rsidP="008A1DE8">
      <w:pPr>
        <w:jc w:val="both"/>
        <w:rPr>
          <w:rFonts w:ascii="Arial Narrow" w:hAnsi="Arial Narrow"/>
          <w:bCs/>
          <w:sz w:val="26"/>
          <w:szCs w:val="26"/>
        </w:rPr>
      </w:pPr>
    </w:p>
    <w:p w14:paraId="0D10FB02" w14:textId="6B5B1E1D" w:rsidR="008A1DE8" w:rsidRPr="00231B8C" w:rsidRDefault="00231B8C" w:rsidP="008A1DE8">
      <w:pPr>
        <w:jc w:val="both"/>
        <w:rPr>
          <w:rFonts w:ascii="Arial Narrow" w:hAnsi="Arial Narrow"/>
          <w:bCs/>
          <w:sz w:val="26"/>
          <w:szCs w:val="26"/>
        </w:rPr>
      </w:pPr>
      <w:r>
        <w:rPr>
          <w:rFonts w:ascii="Arial Narrow" w:hAnsi="Arial Narrow"/>
          <w:bCs/>
          <w:sz w:val="26"/>
          <w:szCs w:val="26"/>
        </w:rPr>
        <w:t>Según ha destacado el teniente de alcaldesa de Presidencia, Agustín Muñoz, "e</w:t>
      </w:r>
      <w:r w:rsidR="008A1DE8" w:rsidRPr="00231B8C">
        <w:rPr>
          <w:rFonts w:ascii="Arial Narrow" w:hAnsi="Arial Narrow"/>
          <w:bCs/>
          <w:sz w:val="26"/>
          <w:szCs w:val="26"/>
        </w:rPr>
        <w:t>l Conjunto arqueológico Dólmenes de Antequera recibe anualmente más de 150.000 visitantes y supone un magnífico escaparate y una gran promoción y difusión a nivel naciona</w:t>
      </w:r>
      <w:r>
        <w:rPr>
          <w:rFonts w:ascii="Arial Narrow" w:hAnsi="Arial Narrow"/>
          <w:bCs/>
          <w:sz w:val="26"/>
          <w:szCs w:val="26"/>
        </w:rPr>
        <w:t>l e internacional para nuestro M</w:t>
      </w:r>
      <w:r w:rsidR="008A1DE8" w:rsidRPr="00231B8C">
        <w:rPr>
          <w:rFonts w:ascii="Arial Narrow" w:hAnsi="Arial Narrow"/>
          <w:bCs/>
          <w:sz w:val="26"/>
          <w:szCs w:val="26"/>
        </w:rPr>
        <w:t>useo y la ciudad de Jerez</w:t>
      </w:r>
      <w:r>
        <w:rPr>
          <w:rFonts w:ascii="Arial Narrow" w:hAnsi="Arial Narrow"/>
          <w:bCs/>
          <w:sz w:val="26"/>
          <w:szCs w:val="26"/>
        </w:rPr>
        <w:t>"</w:t>
      </w:r>
      <w:r w:rsidR="008A1DE8" w:rsidRPr="00231B8C">
        <w:rPr>
          <w:rFonts w:ascii="Arial Narrow" w:hAnsi="Arial Narrow"/>
          <w:bCs/>
          <w:sz w:val="26"/>
          <w:szCs w:val="26"/>
        </w:rPr>
        <w:t>.</w:t>
      </w:r>
    </w:p>
    <w:p w14:paraId="5F7A368B" w14:textId="77777777" w:rsidR="008A1DE8" w:rsidRPr="00231B8C" w:rsidRDefault="008A1DE8" w:rsidP="008A1DE8">
      <w:pPr>
        <w:jc w:val="both"/>
        <w:rPr>
          <w:rFonts w:ascii="Arial Narrow" w:hAnsi="Arial Narrow"/>
          <w:bCs/>
          <w:sz w:val="26"/>
          <w:szCs w:val="26"/>
        </w:rPr>
      </w:pPr>
    </w:p>
    <w:p w14:paraId="6E8B62E3" w14:textId="77777777" w:rsidR="008A1DE8" w:rsidRPr="00231B8C" w:rsidRDefault="008A1DE8" w:rsidP="008A1DE8">
      <w:pPr>
        <w:pStyle w:val="Standard"/>
        <w:jc w:val="both"/>
        <w:rPr>
          <w:rFonts w:ascii="Arial Narrow" w:hAnsi="Arial Narrow"/>
          <w:color w:val="000000"/>
          <w:sz w:val="26"/>
          <w:szCs w:val="26"/>
        </w:rPr>
      </w:pPr>
      <w:r w:rsidRPr="00231B8C">
        <w:rPr>
          <w:rFonts w:ascii="Arial Narrow" w:hAnsi="Arial Narrow"/>
          <w:color w:val="000000"/>
          <w:sz w:val="26"/>
          <w:szCs w:val="26"/>
        </w:rPr>
        <w:t xml:space="preserve">Los comisarios de la exposición son Eduardo </w:t>
      </w:r>
      <w:proofErr w:type="spellStart"/>
      <w:r w:rsidRPr="00231B8C">
        <w:rPr>
          <w:rFonts w:ascii="Arial Narrow" w:hAnsi="Arial Narrow"/>
          <w:color w:val="000000"/>
          <w:sz w:val="26"/>
          <w:szCs w:val="26"/>
        </w:rPr>
        <w:t>Vijande</w:t>
      </w:r>
      <w:proofErr w:type="spellEnd"/>
      <w:r w:rsidRPr="00231B8C">
        <w:rPr>
          <w:rFonts w:ascii="Arial Narrow" w:hAnsi="Arial Narrow"/>
          <w:color w:val="000000"/>
          <w:sz w:val="26"/>
          <w:szCs w:val="26"/>
        </w:rPr>
        <w:t xml:space="preserve"> Vila, Juan Jesús Cantillo Duarte y Serafín Becerra Martín, doctores por la Universidad de Cádiz y especialistas en prehistoria. Profesionales y profesores de reconocido prestigio, por lo que el riguroso tratamiento científico de la exposición está garantizado.</w:t>
      </w:r>
    </w:p>
    <w:p w14:paraId="43837B90" w14:textId="2A7AD082" w:rsidR="008A1DE8" w:rsidRDefault="008A1DE8" w:rsidP="00231B8C">
      <w:pPr>
        <w:pStyle w:val="Standard"/>
        <w:jc w:val="both"/>
        <w:rPr>
          <w:rFonts w:ascii="Arial Narrow" w:hAnsi="Arial Narrow"/>
          <w:sz w:val="26"/>
          <w:szCs w:val="26"/>
        </w:rPr>
      </w:pPr>
      <w:r w:rsidRPr="00231B8C">
        <w:rPr>
          <w:rFonts w:ascii="Arial Narrow" w:hAnsi="Arial Narrow"/>
          <w:color w:val="000000"/>
          <w:sz w:val="26"/>
          <w:szCs w:val="26"/>
        </w:rPr>
        <w:t>Todas</w:t>
      </w:r>
      <w:r w:rsidR="00231B8C">
        <w:rPr>
          <w:rFonts w:ascii="Arial Narrow" w:hAnsi="Arial Narrow"/>
          <w:color w:val="000000"/>
          <w:sz w:val="26"/>
          <w:szCs w:val="26"/>
        </w:rPr>
        <w:t xml:space="preserve"> las piezas que participarán en la exposición</w:t>
      </w:r>
      <w:r w:rsidRPr="00231B8C">
        <w:rPr>
          <w:rFonts w:ascii="Arial Narrow" w:hAnsi="Arial Narrow"/>
          <w:color w:val="000000"/>
          <w:sz w:val="26"/>
          <w:szCs w:val="26"/>
        </w:rPr>
        <w:t xml:space="preserve"> proceden de intervenciones arqueológicas realizadas en el término municipal. Seis de estas piezas proceden de la cueva artificial de Alcántara (año 1935), </w:t>
      </w:r>
      <w:r w:rsidRPr="00231B8C">
        <w:rPr>
          <w:rFonts w:ascii="Arial Narrow" w:hAnsi="Arial Narrow"/>
          <w:sz w:val="26"/>
          <w:szCs w:val="26"/>
        </w:rPr>
        <w:t>seis proceden de Torre Melgarejo (año 1988). Las otras dos, de la Peñuela (año 2023) y de</w:t>
      </w:r>
      <w:r w:rsidR="00231B8C">
        <w:rPr>
          <w:rFonts w:ascii="Arial Narrow" w:hAnsi="Arial Narrow"/>
          <w:sz w:val="26"/>
          <w:szCs w:val="26"/>
        </w:rPr>
        <w:t xml:space="preserve">l Alcázar de Jerez (año 1995).  </w:t>
      </w:r>
      <w:r w:rsidRPr="00231B8C">
        <w:rPr>
          <w:rFonts w:ascii="Arial Narrow" w:hAnsi="Arial Narrow"/>
          <w:sz w:val="26"/>
          <w:szCs w:val="26"/>
        </w:rPr>
        <w:t xml:space="preserve">La ausencia temporal de estas catorce piezas en la exposición permanente del Museo Arqueológico de Jerez no supondrá  menoscabo al Museo ya que en esa Sala se exponen un total de 199 piezas. </w:t>
      </w:r>
    </w:p>
    <w:p w14:paraId="62338FEA" w14:textId="77777777" w:rsidR="00231B8C" w:rsidRDefault="00231B8C" w:rsidP="00231B8C">
      <w:pPr>
        <w:pStyle w:val="Standard"/>
        <w:jc w:val="both"/>
        <w:rPr>
          <w:rFonts w:ascii="Arial Narrow" w:eastAsia="Times New Roman" w:hAnsi="Arial Narrow"/>
          <w:color w:val="000000"/>
          <w:spacing w:val="1"/>
          <w:sz w:val="26"/>
          <w:szCs w:val="26"/>
        </w:rPr>
      </w:pPr>
      <w:r>
        <w:rPr>
          <w:rFonts w:ascii="Arial Narrow" w:hAnsi="Arial Narrow"/>
          <w:sz w:val="26"/>
          <w:szCs w:val="26"/>
        </w:rPr>
        <w:lastRenderedPageBreak/>
        <w:t>Por otro lado, la Junta de Gobierno ha aprobado la declaración de actos de especial proyección cultural para la ciudad a los ciclos que se celebrarán durante los meses de julio y agosto de 2024</w:t>
      </w:r>
      <w:r w:rsidRPr="00426B8A">
        <w:rPr>
          <w:rFonts w:ascii="Arial Narrow" w:hAnsi="Arial Narrow"/>
          <w:color w:val="000000" w:themeColor="text1"/>
          <w:sz w:val="26"/>
          <w:szCs w:val="26"/>
        </w:rPr>
        <w:t xml:space="preserve">.  </w:t>
      </w:r>
      <w:r w:rsidR="00B44E15" w:rsidRPr="00426B8A">
        <w:rPr>
          <w:rFonts w:ascii="Arial Narrow" w:hAnsi="Arial Narrow"/>
          <w:color w:val="000000" w:themeColor="text1"/>
          <w:sz w:val="26"/>
          <w:szCs w:val="26"/>
          <w:shd w:val="clear" w:color="auto" w:fill="FFFFFF"/>
          <w:lang w:eastAsia="es-ES_tradnl"/>
        </w:rPr>
        <w:t xml:space="preserve">El Ayuntamiento de Jerez </w:t>
      </w:r>
      <w:r w:rsidR="00B44E15" w:rsidRPr="00426B8A">
        <w:rPr>
          <w:rFonts w:ascii="Arial Narrow" w:eastAsia="Times New Roman" w:hAnsi="Arial Narrow"/>
          <w:color w:val="000000" w:themeColor="text1"/>
          <w:spacing w:val="1"/>
          <w:sz w:val="26"/>
          <w:szCs w:val="26"/>
        </w:rPr>
        <w:t xml:space="preserve"> </w:t>
      </w:r>
      <w:r w:rsidR="00B44E15" w:rsidRPr="00231B8C">
        <w:rPr>
          <w:rFonts w:ascii="Arial Narrow" w:eastAsia="Times New Roman" w:hAnsi="Arial Narrow"/>
          <w:color w:val="000000"/>
          <w:spacing w:val="1"/>
          <w:sz w:val="26"/>
          <w:szCs w:val="26"/>
        </w:rPr>
        <w:t>trabaja de forma muy activa para dotar a la ciudad de una programación cultural de primer nivel que la posicione como firme candidata a la Capitalidad Europea de la Cultura en el año 2031.</w:t>
      </w:r>
    </w:p>
    <w:p w14:paraId="2088F37D" w14:textId="77777777" w:rsidR="00231B8C" w:rsidRDefault="00B44E15" w:rsidP="00231B8C">
      <w:pPr>
        <w:pStyle w:val="Standard"/>
        <w:jc w:val="both"/>
        <w:rPr>
          <w:rFonts w:ascii="Arial Narrow" w:eastAsia="Times New Roman" w:hAnsi="Arial Narrow"/>
          <w:color w:val="000000"/>
          <w:spacing w:val="1"/>
          <w:sz w:val="26"/>
          <w:szCs w:val="26"/>
        </w:rPr>
      </w:pPr>
      <w:r w:rsidRPr="00231B8C">
        <w:rPr>
          <w:rFonts w:ascii="Arial Narrow" w:eastAsia="Times New Roman" w:hAnsi="Arial Narrow"/>
          <w:color w:val="000000"/>
          <w:spacing w:val="1"/>
          <w:sz w:val="26"/>
          <w:szCs w:val="26"/>
        </w:rPr>
        <w:t xml:space="preserve">No obstante, dentro del extenso programa anual de actividades que se organiza, hay una serie de ellas que, por su excelencia, relevancia e impacto en la ciudad, pueden calificarse como </w:t>
      </w:r>
      <w:r w:rsidR="00231B8C">
        <w:rPr>
          <w:rFonts w:ascii="Arial Narrow" w:eastAsia="Times New Roman" w:hAnsi="Arial Narrow"/>
          <w:color w:val="000000"/>
          <w:spacing w:val="1"/>
          <w:sz w:val="26"/>
          <w:szCs w:val="26"/>
        </w:rPr>
        <w:t>'a</w:t>
      </w:r>
      <w:r w:rsidR="00231B8C" w:rsidRPr="00231B8C">
        <w:rPr>
          <w:rFonts w:ascii="Arial Narrow" w:eastAsia="Times New Roman" w:hAnsi="Arial Narrow"/>
          <w:color w:val="000000"/>
          <w:spacing w:val="1"/>
          <w:sz w:val="26"/>
          <w:szCs w:val="26"/>
        </w:rPr>
        <w:t>ctividades de especial proyección cultural</w:t>
      </w:r>
      <w:r w:rsidRPr="00231B8C">
        <w:rPr>
          <w:rFonts w:ascii="Arial Narrow" w:eastAsia="Times New Roman" w:hAnsi="Arial Narrow"/>
          <w:color w:val="000000"/>
          <w:spacing w:val="1"/>
          <w:sz w:val="26"/>
          <w:szCs w:val="26"/>
        </w:rPr>
        <w:t>', ya que justifican la acción pública en la creación y el so</w:t>
      </w:r>
      <w:r w:rsidR="00231B8C">
        <w:rPr>
          <w:rFonts w:ascii="Arial Narrow" w:eastAsia="Times New Roman" w:hAnsi="Arial Narrow"/>
          <w:color w:val="000000"/>
          <w:spacing w:val="1"/>
          <w:sz w:val="26"/>
          <w:szCs w:val="26"/>
        </w:rPr>
        <w:t>stenimiento del tejido cultural</w:t>
      </w:r>
      <w:r w:rsidRPr="00231B8C">
        <w:rPr>
          <w:rFonts w:ascii="Arial Narrow" w:eastAsia="Times New Roman" w:hAnsi="Arial Narrow"/>
          <w:color w:val="000000"/>
          <w:spacing w:val="1"/>
          <w:sz w:val="26"/>
          <w:szCs w:val="26"/>
        </w:rPr>
        <w:t xml:space="preserve"> y aseguran que esos contenidos culturales se constituyan en actos de construcción de identidad colectiva.</w:t>
      </w:r>
    </w:p>
    <w:p w14:paraId="2EC4F30D" w14:textId="389C7DD4" w:rsidR="00231B8C" w:rsidRDefault="00B44E15" w:rsidP="00231B8C">
      <w:pPr>
        <w:pStyle w:val="Standard"/>
        <w:jc w:val="both"/>
        <w:rPr>
          <w:rFonts w:ascii="Arial Narrow" w:hAnsi="Arial Narrow"/>
          <w:sz w:val="26"/>
          <w:szCs w:val="26"/>
        </w:rPr>
      </w:pPr>
      <w:r w:rsidRPr="00426B8A">
        <w:rPr>
          <w:rFonts w:ascii="Arial Narrow" w:eastAsia="Times New Roman" w:hAnsi="Arial Narrow" w:cs="Calibri"/>
          <w:color w:val="000000" w:themeColor="text1"/>
          <w:sz w:val="26"/>
          <w:szCs w:val="26"/>
          <w:lang w:val="es-ES_tradnl" w:eastAsia="es-ES"/>
        </w:rPr>
        <w:t xml:space="preserve">Dentro de la programación que la </w:t>
      </w:r>
      <w:r w:rsidRPr="00231B8C">
        <w:rPr>
          <w:rFonts w:ascii="Arial Narrow" w:eastAsia="Times" w:hAnsi="Arial Narrow" w:cs="Calibri"/>
          <w:sz w:val="26"/>
          <w:szCs w:val="26"/>
          <w:lang w:val="es-ES_tradnl" w:eastAsia="es-ES_tradnl"/>
        </w:rPr>
        <w:t xml:space="preserve">Delegación de Cultura, </w:t>
      </w:r>
      <w:r w:rsidRPr="00426B8A">
        <w:rPr>
          <w:rFonts w:ascii="Arial Narrow" w:eastAsia="Times New Roman" w:hAnsi="Arial Narrow" w:cs="Calibri"/>
          <w:color w:val="000000" w:themeColor="text1"/>
          <w:spacing w:val="1"/>
          <w:sz w:val="26"/>
          <w:szCs w:val="26"/>
        </w:rPr>
        <w:t xml:space="preserve">Fiestas, Patrimonio Histórico y Capitalidad </w:t>
      </w:r>
      <w:r w:rsidRPr="00426B8A">
        <w:rPr>
          <w:rFonts w:ascii="Arial Narrow" w:eastAsia="Times New Roman" w:hAnsi="Arial Narrow" w:cs="Calibri"/>
          <w:color w:val="000000" w:themeColor="text1"/>
          <w:sz w:val="26"/>
          <w:szCs w:val="26"/>
        </w:rPr>
        <w:t>Cultural y Fundarte</w:t>
      </w:r>
      <w:r w:rsidRPr="00231B8C">
        <w:rPr>
          <w:rFonts w:ascii="Arial Narrow" w:eastAsia="Times New Roman" w:hAnsi="Arial Narrow" w:cs="Calibri"/>
          <w:color w:val="222222"/>
          <w:sz w:val="26"/>
          <w:szCs w:val="26"/>
        </w:rPr>
        <w:t xml:space="preserve"> </w:t>
      </w:r>
      <w:r w:rsidRPr="00231B8C">
        <w:rPr>
          <w:rFonts w:ascii="Arial Narrow" w:eastAsia="Times" w:hAnsi="Arial Narrow" w:cs="Calibri"/>
          <w:sz w:val="26"/>
          <w:szCs w:val="26"/>
          <w:lang w:val="es-ES_tradnl" w:eastAsia="es-ES_tradnl"/>
        </w:rPr>
        <w:t>han organizado para el verano del presente año, hay determinadas actividades que se</w:t>
      </w:r>
      <w:r w:rsidRPr="00231B8C">
        <w:rPr>
          <w:rFonts w:ascii="Arial Narrow" w:eastAsia="Times New Roman" w:hAnsi="Arial Narrow" w:cs="Calibri"/>
          <w:color w:val="000000"/>
          <w:spacing w:val="1"/>
          <w:sz w:val="26"/>
          <w:szCs w:val="26"/>
        </w:rPr>
        <w:t xml:space="preserve"> </w:t>
      </w:r>
      <w:r w:rsidRPr="00231B8C">
        <w:rPr>
          <w:rFonts w:ascii="Arial Narrow" w:eastAsia="Times" w:hAnsi="Arial Narrow" w:cs="Calibri"/>
          <w:sz w:val="26"/>
          <w:szCs w:val="26"/>
          <w:lang w:val="es-ES_tradnl" w:eastAsia="es-ES_tradnl"/>
        </w:rPr>
        <w:t xml:space="preserve">proponen para su calificación como </w:t>
      </w:r>
      <w:r w:rsidRPr="00426B8A">
        <w:rPr>
          <w:rFonts w:ascii="Arial Narrow" w:eastAsia="Times New Roman" w:hAnsi="Arial Narrow" w:cs="Calibri"/>
          <w:color w:val="000000" w:themeColor="text1"/>
          <w:sz w:val="26"/>
          <w:szCs w:val="26"/>
          <w:lang w:val="es-ES_tradnl" w:eastAsia="es-ES"/>
        </w:rPr>
        <w:t>'de especial proyección cultural'. Son las siguientes:</w:t>
      </w:r>
      <w:r w:rsidR="00231B8C" w:rsidRPr="00426B8A">
        <w:rPr>
          <w:rFonts w:ascii="Arial Narrow" w:hAnsi="Arial Narrow" w:cs="Calibri"/>
          <w:color w:val="000000" w:themeColor="text1"/>
          <w:sz w:val="26"/>
          <w:szCs w:val="26"/>
          <w:lang w:val="es-ES_tradnl" w:eastAsia="es-ES"/>
        </w:rPr>
        <w:t xml:space="preserve"> Ciclo Noche de Verano en Asunción, que se celebrará del 4 al 11 de julio en la Plaza de la Asunción; Ciclo En La Frontera, que tendrá lugar los  </w:t>
      </w:r>
      <w:r w:rsidRPr="00231B8C">
        <w:rPr>
          <w:rFonts w:ascii="Arial Narrow" w:hAnsi="Arial Narrow"/>
          <w:sz w:val="26"/>
          <w:szCs w:val="26"/>
        </w:rPr>
        <w:t xml:space="preserve">días 6 y 27 de julio en </w:t>
      </w:r>
      <w:r w:rsidR="00231B8C">
        <w:rPr>
          <w:rFonts w:ascii="Arial Narrow" w:hAnsi="Arial Narrow"/>
          <w:sz w:val="26"/>
          <w:szCs w:val="26"/>
        </w:rPr>
        <w:t>los Claustros de Santo Domin</w:t>
      </w:r>
      <w:r w:rsidR="00426B8A">
        <w:rPr>
          <w:rFonts w:ascii="Arial Narrow" w:hAnsi="Arial Narrow"/>
          <w:sz w:val="26"/>
          <w:szCs w:val="26"/>
        </w:rPr>
        <w:t>go; Celebración Día de Santiago y</w:t>
      </w:r>
      <w:r w:rsidR="00231B8C">
        <w:rPr>
          <w:rFonts w:ascii="Arial Narrow" w:hAnsi="Arial Narrow"/>
          <w:sz w:val="26"/>
          <w:szCs w:val="26"/>
        </w:rPr>
        <w:t xml:space="preserve"> Festival </w:t>
      </w:r>
      <w:proofErr w:type="spellStart"/>
      <w:r w:rsidR="00231B8C">
        <w:rPr>
          <w:rFonts w:ascii="Arial Narrow" w:hAnsi="Arial Narrow"/>
          <w:sz w:val="26"/>
          <w:szCs w:val="26"/>
        </w:rPr>
        <w:t>InPuro</w:t>
      </w:r>
      <w:proofErr w:type="spellEnd"/>
      <w:r w:rsidR="00231B8C">
        <w:rPr>
          <w:rFonts w:ascii="Arial Narrow" w:hAnsi="Arial Narrow" w:cs="Calibri"/>
          <w:color w:val="222222"/>
          <w:sz w:val="26"/>
          <w:szCs w:val="26"/>
          <w:lang w:val="es-ES_tradnl" w:eastAsia="es-ES"/>
        </w:rPr>
        <w:t xml:space="preserve">, </w:t>
      </w:r>
      <w:r w:rsidR="00426B8A">
        <w:rPr>
          <w:rFonts w:ascii="Arial Narrow" w:hAnsi="Arial Narrow" w:cs="Calibri"/>
          <w:color w:val="222222"/>
          <w:sz w:val="26"/>
          <w:szCs w:val="26"/>
          <w:lang w:val="es-ES_tradnl" w:eastAsia="es-ES"/>
        </w:rPr>
        <w:t xml:space="preserve">que </w:t>
      </w:r>
      <w:bookmarkStart w:id="0" w:name="_GoBack"/>
      <w:bookmarkEnd w:id="0"/>
      <w:r w:rsidR="00231B8C">
        <w:rPr>
          <w:rFonts w:ascii="Arial Narrow" w:hAnsi="Arial Narrow"/>
          <w:sz w:val="26"/>
          <w:szCs w:val="26"/>
        </w:rPr>
        <w:t>t</w:t>
      </w:r>
      <w:r w:rsidRPr="00231B8C">
        <w:rPr>
          <w:rFonts w:ascii="Arial Narrow" w:hAnsi="Arial Narrow"/>
          <w:sz w:val="26"/>
          <w:szCs w:val="26"/>
        </w:rPr>
        <w:t>endrá lugar los días 19 y 20 de julio en los Claustros de Santo Domingo.</w:t>
      </w:r>
      <w:r w:rsidR="00231B8C">
        <w:rPr>
          <w:rFonts w:ascii="Arial Narrow" w:hAnsi="Arial Narrow"/>
          <w:sz w:val="26"/>
          <w:szCs w:val="26"/>
        </w:rPr>
        <w:t xml:space="preserve"> Igualmente se ha incluido la 57 Fiesta de la </w:t>
      </w:r>
      <w:proofErr w:type="spellStart"/>
      <w:r w:rsidR="00231B8C">
        <w:rPr>
          <w:rFonts w:ascii="Arial Narrow" w:hAnsi="Arial Narrow"/>
          <w:sz w:val="26"/>
          <w:szCs w:val="26"/>
        </w:rPr>
        <w:t>Bulería</w:t>
      </w:r>
      <w:proofErr w:type="spellEnd"/>
      <w:r w:rsidR="00231B8C">
        <w:rPr>
          <w:rFonts w:ascii="Arial Narrow" w:hAnsi="Arial Narrow"/>
          <w:sz w:val="26"/>
          <w:szCs w:val="26"/>
        </w:rPr>
        <w:t xml:space="preserve"> de Jerez y los Viernes Flamenco </w:t>
      </w:r>
    </w:p>
    <w:p w14:paraId="5B70999F" w14:textId="77777777" w:rsidR="00B44E15" w:rsidRPr="00231B8C" w:rsidRDefault="00B44E15" w:rsidP="00B44E15">
      <w:pPr>
        <w:spacing w:line="276" w:lineRule="auto"/>
        <w:jc w:val="both"/>
        <w:rPr>
          <w:rFonts w:ascii="Arial Narrow" w:hAnsi="Arial Narrow"/>
          <w:sz w:val="26"/>
          <w:szCs w:val="26"/>
        </w:rPr>
      </w:pPr>
    </w:p>
    <w:p w14:paraId="09C2411B" w14:textId="77777777" w:rsidR="00B44E15" w:rsidRPr="00231B8C" w:rsidRDefault="00B44E15" w:rsidP="00B44E15">
      <w:pPr>
        <w:spacing w:line="276" w:lineRule="auto"/>
        <w:jc w:val="both"/>
        <w:rPr>
          <w:rFonts w:ascii="Arial Narrow" w:hAnsi="Arial Narrow"/>
          <w:sz w:val="26"/>
          <w:szCs w:val="26"/>
        </w:rPr>
      </w:pPr>
    </w:p>
    <w:p w14:paraId="7C486233" w14:textId="77777777" w:rsidR="00B44E15" w:rsidRPr="00231B8C" w:rsidRDefault="00B44E15" w:rsidP="00B44E15">
      <w:pPr>
        <w:spacing w:line="276" w:lineRule="auto"/>
        <w:jc w:val="both"/>
        <w:rPr>
          <w:rFonts w:ascii="Arial Narrow" w:hAnsi="Arial Narrow"/>
          <w:bCs/>
          <w:color w:val="FF0000"/>
          <w:sz w:val="26"/>
          <w:szCs w:val="26"/>
        </w:rPr>
      </w:pPr>
    </w:p>
    <w:p w14:paraId="7FEC43F9" w14:textId="77777777" w:rsidR="00B44E15" w:rsidRPr="00231B8C" w:rsidRDefault="00B44E15" w:rsidP="00B44E15">
      <w:pPr>
        <w:spacing w:line="276" w:lineRule="auto"/>
        <w:jc w:val="both"/>
        <w:rPr>
          <w:rFonts w:ascii="Arial Narrow" w:hAnsi="Arial Narrow"/>
          <w:bCs/>
          <w:sz w:val="26"/>
          <w:szCs w:val="26"/>
        </w:rPr>
      </w:pPr>
    </w:p>
    <w:p w14:paraId="25F894A1" w14:textId="77777777" w:rsidR="00B44E15" w:rsidRPr="00231B8C" w:rsidRDefault="00B44E15" w:rsidP="00B44E15">
      <w:pPr>
        <w:spacing w:line="276" w:lineRule="auto"/>
        <w:jc w:val="both"/>
        <w:rPr>
          <w:rFonts w:ascii="Arial Narrow" w:hAnsi="Arial Narrow"/>
          <w:bCs/>
          <w:sz w:val="26"/>
          <w:szCs w:val="26"/>
        </w:rPr>
      </w:pPr>
    </w:p>
    <w:p w14:paraId="4C6AB0FD" w14:textId="77777777" w:rsidR="00B44E15" w:rsidRPr="00231B8C" w:rsidRDefault="00B44E15" w:rsidP="00B44E15">
      <w:pPr>
        <w:spacing w:line="276" w:lineRule="auto"/>
        <w:jc w:val="both"/>
        <w:rPr>
          <w:rFonts w:ascii="Arial Narrow" w:hAnsi="Arial Narrow"/>
          <w:bCs/>
          <w:sz w:val="26"/>
          <w:szCs w:val="26"/>
        </w:rPr>
      </w:pPr>
    </w:p>
    <w:p w14:paraId="3414C535" w14:textId="77777777" w:rsidR="00B44E15" w:rsidRPr="00231B8C" w:rsidRDefault="00B44E15" w:rsidP="00B44E15">
      <w:pPr>
        <w:spacing w:line="276" w:lineRule="auto"/>
        <w:jc w:val="both"/>
        <w:rPr>
          <w:rFonts w:ascii="Arial Narrow" w:hAnsi="Arial Narrow"/>
          <w:bCs/>
          <w:sz w:val="26"/>
          <w:szCs w:val="26"/>
        </w:rPr>
      </w:pPr>
    </w:p>
    <w:p w14:paraId="1BDE604B" w14:textId="77777777" w:rsidR="00B44E15" w:rsidRPr="00231B8C" w:rsidRDefault="00B44E15" w:rsidP="00B44E15">
      <w:pPr>
        <w:spacing w:line="276" w:lineRule="auto"/>
        <w:jc w:val="both"/>
        <w:rPr>
          <w:rFonts w:ascii="Arial Narrow" w:hAnsi="Arial Narrow"/>
          <w:bCs/>
          <w:sz w:val="26"/>
          <w:szCs w:val="26"/>
        </w:rPr>
      </w:pPr>
    </w:p>
    <w:p w14:paraId="7D027AC3" w14:textId="77777777" w:rsidR="006A44A0" w:rsidRPr="00231B8C" w:rsidRDefault="006A44A0" w:rsidP="00B44E15">
      <w:pPr>
        <w:jc w:val="both"/>
        <w:rPr>
          <w:rFonts w:ascii="Arial Narrow" w:hAnsi="Arial Narrow"/>
          <w:sz w:val="26"/>
          <w:szCs w:val="26"/>
        </w:rPr>
      </w:pPr>
    </w:p>
    <w:sectPr w:rsidR="006A44A0" w:rsidRPr="00231B8C">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2A7E" w14:textId="77777777" w:rsidR="00200590" w:rsidRDefault="00200590">
      <w:r>
        <w:separator/>
      </w:r>
    </w:p>
  </w:endnote>
  <w:endnote w:type="continuationSeparator" w:id="0">
    <w:p w14:paraId="341BCBBA" w14:textId="77777777" w:rsidR="00200590" w:rsidRDefault="002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434C" w14:textId="77777777" w:rsidR="00200590" w:rsidRDefault="00200590">
      <w:r>
        <w:separator/>
      </w:r>
    </w:p>
  </w:footnote>
  <w:footnote w:type="continuationSeparator" w:id="0">
    <w:p w14:paraId="6084C953" w14:textId="77777777" w:rsidR="00200590" w:rsidRDefault="002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812DEA"/>
    <w:multiLevelType w:val="hybridMultilevel"/>
    <w:tmpl w:val="FA5C2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184CE3"/>
    <w:rsid w:val="00200590"/>
    <w:rsid w:val="00231B8C"/>
    <w:rsid w:val="002929AE"/>
    <w:rsid w:val="002A1731"/>
    <w:rsid w:val="00315388"/>
    <w:rsid w:val="00426B8A"/>
    <w:rsid w:val="004870C1"/>
    <w:rsid w:val="004A6CD3"/>
    <w:rsid w:val="006631BE"/>
    <w:rsid w:val="006A44A0"/>
    <w:rsid w:val="006D75EA"/>
    <w:rsid w:val="007025C7"/>
    <w:rsid w:val="0070790E"/>
    <w:rsid w:val="0081073A"/>
    <w:rsid w:val="008A1DE8"/>
    <w:rsid w:val="00956F5A"/>
    <w:rsid w:val="00A96EF3"/>
    <w:rsid w:val="00AF0F99"/>
    <w:rsid w:val="00B44E15"/>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Prrafodelista">
    <w:name w:val="List Paragraph"/>
    <w:basedOn w:val="Normal"/>
    <w:qFormat/>
    <w:rsid w:val="00B44E15"/>
    <w:pPr>
      <w:suppressAutoHyphens w:val="0"/>
      <w:ind w:left="720"/>
    </w:pPr>
    <w:rPr>
      <w:rFonts w:ascii="Calibri" w:eastAsia="Calibri" w:hAnsi="Calibri" w:cs="Calibri"/>
      <w:kern w:val="0"/>
      <w:sz w:val="22"/>
      <w:szCs w:val="22"/>
      <w:lang w:eastAsia="en-US"/>
    </w:rPr>
  </w:style>
  <w:style w:type="paragraph" w:styleId="Sinespaciado">
    <w:name w:val="No Spacing"/>
    <w:uiPriority w:val="1"/>
    <w:qFormat/>
    <w:rsid w:val="00B44E15"/>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563</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6</cp:revision>
  <cp:lastPrinted>2023-10-11T07:08:00Z</cp:lastPrinted>
  <dcterms:created xsi:type="dcterms:W3CDTF">2024-07-01T08:10:00Z</dcterms:created>
  <dcterms:modified xsi:type="dcterms:W3CDTF">2024-07-01T11:16:00Z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