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0E2F" w:rsidRDefault="00CA727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Cs/>
          <w:sz w:val="32"/>
          <w:szCs w:val="40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La Comisión Municipal de Absentismo Escolar informa sobre la intervención en 307 protocolos durante el curso 2023-2024</w:t>
      </w:r>
    </w:p>
    <w:p w:rsidR="00F70E2F" w:rsidRDefault="00CA727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Cs/>
          <w:sz w:val="36"/>
          <w:szCs w:val="36"/>
          <w:lang w:eastAsia="es-ES_tradnl"/>
        </w:rPr>
      </w:pPr>
      <w:r>
        <w:rPr>
          <w:rFonts w:ascii="Arial Narrow" w:hAnsi="Arial Narrow" w:cs="Arial Narrow"/>
          <w:bCs/>
          <w:sz w:val="36"/>
          <w:szCs w:val="36"/>
          <w:lang w:eastAsia="es-ES_tradnl"/>
        </w:rPr>
        <w:t>De todos ellos se han cerrado un expediente de Educación Infantil, 12 de Educación Primaria y 49 de Educación Secundaria</w:t>
      </w:r>
    </w:p>
    <w:p w:rsidR="00F70E2F" w:rsidRDefault="00F70E2F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</w:pPr>
    </w:p>
    <w:p w:rsidR="00F70E2F" w:rsidRDefault="00CA727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/>
          <w:sz w:val="28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16</w:t>
      </w: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julio de 2024.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El delegado de Desarrollo Educativo, José Ángel Aparicio, ha participado en la reunión de la Comisión Municipal de Absentismo Escolar, el órgano a través del cual las diferentes áreas municipales implicadas en este ámbito suman esfuer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zos junto con otras administraciones, instituciones y colectivos para el correcto tratamiento de los casos de absentismo que puedan detectarse en la ciudad.</w:t>
      </w:r>
    </w:p>
    <w:p w:rsidR="00F70E2F" w:rsidRDefault="00CA727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/>
          <w:sz w:val="28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En este encuentro se ha dado cuenta del  informe técnico de absentismo escolar del curso 2023-2024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elaborado por el equipo que se encarga de poner en marcha los recursos necesarios para la intervención en los casos que se presentan.  </w:t>
      </w:r>
    </w:p>
    <w:p w:rsidR="00F70E2F" w:rsidRDefault="00CA727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/>
          <w:sz w:val="28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Este curso el equipo técni</w:t>
      </w:r>
      <w:bookmarkStart w:id="0" w:name="_GoBack"/>
      <w:bookmarkEnd w:id="0"/>
      <w:r>
        <w:rPr>
          <w:rFonts w:ascii="Arial Narrow" w:eastAsia="Arial" w:hAnsi="Arial Narrow" w:cs="Arial Narrow"/>
          <w:sz w:val="26"/>
          <w:szCs w:val="26"/>
          <w:lang w:eastAsia="es-ES_tradnl"/>
        </w:rPr>
        <w:t>co ha intervenido en 307 protocolos, de los que 197 quedaron abiertos en el curso anterior 20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22-2023 y otros 110 se han recibido durante éste último, que finalizó el pasado mes de junio. De todos ellos,  se han cerrado un expediente de Educación Infantil, 12 de Educación Primaria y 49 de Educación Secundaria. En cuanto a la resolución de expedient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es de Educación Primaria, cabe destacar que en el 50% de los casos la causa fue la regularización de la situación con la asistencia a clase y el resto, por cambio de localidad. En cuanto a Secundaria,  la mayoría se cerró porque los alumnos afectados cumpl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ieron la edad de 16 años. </w:t>
      </w:r>
    </w:p>
    <w:p w:rsidR="00F70E2F" w:rsidRDefault="00CA727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/>
          <w:sz w:val="28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En cuanto a la distribución por etapas educativas, del total de 307 protocolos en los que se ha intervenido, 119 se corresponden con Educación Infantil y Primaria y 188 con Educación Secundaria. La época del curso pasado 2023-202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4 en la que más protocolos de absentismo se registraron fue el mes de febrero, que se destaca notablemente respecto al resto, con un total de 28.</w:t>
      </w:r>
    </w:p>
    <w:p w:rsidR="00F70E2F" w:rsidRDefault="00CA727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/>
          <w:sz w:val="28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Entre las intervenciones realizadas por los diferentes equipos profesionales en los casos de absentismo escola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r detectados, se encuentran 25 de Inclusión Social, 209 de los dos Equipos de Orientación Educativa,  10 de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CEAin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el resto, de los equipos de orientadores de los distintos centros. La Policía Local ha realizado 77 intervenciones y ha realizado 7 informes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de alumnado que se ha detectado fuera de sus centros. También se han enviado 2 informes a la Fiscalía de Menores.</w:t>
      </w:r>
    </w:p>
    <w:p w:rsidR="00F70E2F" w:rsidRDefault="00CA727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lastRenderedPageBreak/>
        <w:t>El delegado de Desarrollo Educativo ha valorado el trabajo realizado este curso como muy positivo, tanto por coordinación del equipo, como po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r las intervenciones realizadas por los diferentes miembros. José Ángel Aparicio ha recordado que el trabajo para combatir el absentismo escolar se verá reforzado a partir del próximo curso con la figura del agente tutor, un recurso más “para apoyar a la c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omunidad educativa, que trabajará en estrecha coordinación con el resto de profesionales de la red de recursos municipales”. </w:t>
      </w:r>
    </w:p>
    <w:p w:rsidR="00F70E2F" w:rsidRDefault="00F70E2F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F70E2F" w:rsidRDefault="00CA727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(Se adjunta fotografía)</w:t>
      </w:r>
    </w:p>
    <w:p w:rsidR="00F70E2F" w:rsidRDefault="00F70E2F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</w:pPr>
    </w:p>
    <w:p w:rsidR="00F70E2F" w:rsidRDefault="00F70E2F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8"/>
          <w:szCs w:val="26"/>
          <w:lang w:eastAsia="es-ES_tradnl"/>
        </w:rPr>
      </w:pPr>
    </w:p>
    <w:p w:rsidR="00F70E2F" w:rsidRDefault="00F70E2F"/>
    <w:sectPr w:rsidR="00F70E2F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7272">
      <w:r>
        <w:separator/>
      </w:r>
    </w:p>
  </w:endnote>
  <w:endnote w:type="continuationSeparator" w:id="0">
    <w:p w:rsidR="00000000" w:rsidRDefault="00CA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2F" w:rsidRDefault="00CA7272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A7272">
      <w:r>
        <w:separator/>
      </w:r>
    </w:p>
  </w:footnote>
  <w:footnote w:type="continuationSeparator" w:id="0">
    <w:p w:rsidR="00000000" w:rsidRDefault="00CA7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2F" w:rsidRDefault="00CA7272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A791B"/>
    <w:multiLevelType w:val="multilevel"/>
    <w:tmpl w:val="B99E774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950E30"/>
    <w:multiLevelType w:val="multilevel"/>
    <w:tmpl w:val="EBA6E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2F"/>
    <w:rsid w:val="00CA7272"/>
    <w:rsid w:val="00F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81843-C301-4E63-BE45-C182133E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qFormat/>
    <w:rsid w:val="007F333C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550351"/>
    <w:rPr>
      <w:rFonts w:ascii="Tahoma" w:hAnsi="Tahoma" w:cs="Tahoma"/>
      <w:kern w:val="2"/>
      <w:sz w:val="24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qFormat/>
    <w:rsid w:val="007F333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D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454</Words>
  <Characters>2501</Characters>
  <Application>Microsoft Office Word</Application>
  <DocSecurity>0</DocSecurity>
  <Lines>20</Lines>
  <Paragraphs>5</Paragraphs>
  <ScaleCrop>false</ScaleCrop>
  <Company>HP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11</cp:revision>
  <cp:lastPrinted>2024-07-09T10:48:00Z</cp:lastPrinted>
  <dcterms:created xsi:type="dcterms:W3CDTF">2024-07-08T07:56:00Z</dcterms:created>
  <dcterms:modified xsi:type="dcterms:W3CDTF">2024-07-16T06:19:00Z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