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61" w:rsidRDefault="004B308B">
      <w:pPr>
        <w:pStyle w:val="Textoindependiente"/>
        <w:widowControl w:val="0"/>
        <w:shd w:val="clear" w:color="auto" w:fill="FFFFFF"/>
        <w:tabs>
          <w:tab w:val="left" w:pos="729"/>
        </w:tabs>
        <w:spacing w:after="142" w:line="240" w:lineRule="auto"/>
      </w:pPr>
      <w:r>
        <w:rPr>
          <w:rStyle w:val="Ninguno"/>
          <w:rFonts w:ascii="Arial Narrow" w:hAnsi="Arial Narrow"/>
          <w:b/>
          <w:bCs/>
          <w:sz w:val="40"/>
          <w:szCs w:val="40"/>
        </w:rPr>
        <w:t>El Gobierno aprueba una modificación del PGOU en la zona de Bolaños que permitirá crear empleo y riqueza ligada a la economía circular</w:t>
      </w:r>
    </w:p>
    <w:p w:rsidR="00774F61" w:rsidRDefault="004B308B">
      <w:pPr>
        <w:pStyle w:val="Textoindependiente"/>
        <w:widowControl w:val="0"/>
        <w:shd w:val="clear" w:color="auto" w:fill="FFFFFF"/>
        <w:tabs>
          <w:tab w:val="left" w:pos="729"/>
        </w:tabs>
        <w:spacing w:after="142" w:line="240" w:lineRule="auto"/>
        <w:rPr>
          <w:rStyle w:val="Ninguno"/>
          <w:sz w:val="36"/>
          <w:szCs w:val="36"/>
        </w:rPr>
      </w:pPr>
      <w:r>
        <w:rPr>
          <w:rStyle w:val="Ninguno"/>
          <w:rFonts w:ascii="Arial Narrow" w:hAnsi="Arial Narrow"/>
          <w:sz w:val="36"/>
          <w:szCs w:val="36"/>
        </w:rPr>
        <w:t>La delegada de Urbanismo, Belén de la Cuadra, muestra su sorpresa por el hecho de que el PSOE rechace ahora una subsanación en el planeamiento que impulsó en 2022 y que frenó</w:t>
      </w:r>
      <w:r w:rsidR="00F55B14">
        <w:rPr>
          <w:rStyle w:val="Ninguno"/>
          <w:rFonts w:ascii="Arial Narrow" w:hAnsi="Arial Narrow"/>
          <w:sz w:val="36"/>
          <w:szCs w:val="36"/>
        </w:rPr>
        <w:t xml:space="preserve"> sin informes jurídicos</w:t>
      </w:r>
      <w:r>
        <w:rPr>
          <w:rStyle w:val="Ninguno"/>
          <w:rFonts w:ascii="Arial Narrow" w:hAnsi="Arial Narrow"/>
          <w:sz w:val="36"/>
          <w:szCs w:val="36"/>
        </w:rPr>
        <w:t xml:space="preserve"> el pasado año ya estando en funciones</w:t>
      </w:r>
    </w:p>
    <w:p w:rsidR="00774F61" w:rsidRDefault="00774F61">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b/>
          <w:bCs/>
          <w:sz w:val="26"/>
          <w:szCs w:val="26"/>
        </w:rPr>
      </w:pPr>
    </w:p>
    <w:p w:rsidR="00774F61" w:rsidRDefault="004B308B">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b/>
          <w:bCs/>
          <w:sz w:val="26"/>
          <w:szCs w:val="26"/>
        </w:rPr>
        <w:t xml:space="preserve">26 de julio de 2024. </w:t>
      </w:r>
      <w:r>
        <w:rPr>
          <w:rStyle w:val="Ninguno"/>
          <w:rFonts w:ascii="Arial Narrow" w:hAnsi="Arial Narrow"/>
          <w:sz w:val="26"/>
          <w:szCs w:val="26"/>
        </w:rPr>
        <w:t>El Pleno del Ayuntamiento de Jerez ha aprobado, en sesión ordinaria de julio que se celebra este viernes, la modificación puntual del Plan General de Ordenación Urbana (PGOU) para la subsanación de error en la calificación de los terrenos en suelo</w:t>
      </w:r>
      <w:r w:rsidR="00F55B14">
        <w:rPr>
          <w:rStyle w:val="Ninguno"/>
          <w:rFonts w:ascii="Arial Narrow" w:hAnsi="Arial Narrow"/>
          <w:sz w:val="26"/>
          <w:szCs w:val="26"/>
        </w:rPr>
        <w:t xml:space="preserve"> rústico en la zona de Bolaños que permitirá crear empleo y riqueza ligada a la economía circular. </w:t>
      </w:r>
    </w:p>
    <w:p w:rsidR="00774F61" w:rsidRDefault="004B308B">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Una modificación puntual a instancias de la propietaria de estos suelos, Valoriza Servicios Medioambientales SA, cuyo procedimiento inició el anterior Gobierno del PSOE en 2022, paralizó</w:t>
      </w:r>
      <w:r w:rsidR="00F55B14">
        <w:rPr>
          <w:rStyle w:val="Ninguno"/>
          <w:rFonts w:ascii="Arial Narrow" w:hAnsi="Arial Narrow"/>
          <w:sz w:val="26"/>
          <w:szCs w:val="26"/>
        </w:rPr>
        <w:t xml:space="preserve"> sin los informes jurídicos pertinentes </w:t>
      </w:r>
      <w:r>
        <w:rPr>
          <w:rStyle w:val="Ninguno"/>
          <w:rFonts w:ascii="Arial Narrow" w:hAnsi="Arial Narrow"/>
          <w:sz w:val="26"/>
          <w:szCs w:val="26"/>
        </w:rPr>
        <w:t xml:space="preserve"> estando ya como Gobierno en funciones en junio del 2023</w:t>
      </w:r>
      <w:r w:rsidR="00F55B14">
        <w:rPr>
          <w:rStyle w:val="Ninguno"/>
          <w:rFonts w:ascii="Arial Narrow" w:hAnsi="Arial Narrow"/>
          <w:sz w:val="26"/>
          <w:szCs w:val="26"/>
        </w:rPr>
        <w:t xml:space="preserve">, el oficio de paralización está firmado el 14 de junio y el Gobierno del PP tomó posesión el 17 de junio, </w:t>
      </w:r>
      <w:r>
        <w:rPr>
          <w:rStyle w:val="Ninguno"/>
          <w:rFonts w:ascii="Arial Narrow" w:hAnsi="Arial Narrow"/>
          <w:sz w:val="26"/>
          <w:szCs w:val="26"/>
        </w:rPr>
        <w:t xml:space="preserve"> y sobre la que ahora ha votado en contra, al igual que La Confluencia. El grupo Vox se ha abstenido.</w:t>
      </w:r>
    </w:p>
    <w:p w:rsidR="00774F61" w:rsidRDefault="004B308B">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Con todas las garantías jurídicas y técnicas que dan viabilidad a dicha modificación puntual, la delegada de Urbanismo, Belén de la Cuadra, ha subrayado la “transparencia” y el “diálogo permanente” que mantiene este Gobierno, presidido por la alcaldesa, María José García-Pelayo, con todos los grupos políticos de la oposición. </w:t>
      </w:r>
    </w:p>
    <w:p w:rsidR="00774F61" w:rsidRDefault="004B308B">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 xml:space="preserve">Del mismo modo, ha insistido en que “desconoce las motivaciones que ahora se ocultan tras el ‘no’ del PSOE”, reiterando al portavoz socialista, y ex delegado de Urbanismo, dos preguntas: “¿Por qué ese interés en paralizar desde el pasado año esta modificación? </w:t>
      </w:r>
      <w:proofErr w:type="gramStart"/>
      <w:r>
        <w:rPr>
          <w:rStyle w:val="Ninguno"/>
          <w:rFonts w:ascii="Arial Narrow" w:hAnsi="Arial Narrow"/>
          <w:sz w:val="26"/>
          <w:szCs w:val="26"/>
        </w:rPr>
        <w:t>¿</w:t>
      </w:r>
      <w:proofErr w:type="gramEnd"/>
      <w:r>
        <w:rPr>
          <w:rStyle w:val="Ninguno"/>
          <w:rFonts w:ascii="Arial Narrow" w:hAnsi="Arial Narrow"/>
          <w:sz w:val="26"/>
          <w:szCs w:val="26"/>
        </w:rPr>
        <w:t>Qué motivación tiene para impedir que en este caso se pueda llevar a cabo un proyecto que genere riqueza y empleo en el municipio</w:t>
      </w:r>
      <w:r w:rsidR="002607B8">
        <w:rPr>
          <w:rStyle w:val="Ninguno"/>
          <w:rFonts w:ascii="Arial Narrow" w:hAnsi="Arial Narrow"/>
          <w:sz w:val="26"/>
          <w:szCs w:val="26"/>
        </w:rPr>
        <w:t xml:space="preserve"> ligado a la economía circular</w:t>
      </w:r>
      <w:r>
        <w:rPr>
          <w:rStyle w:val="Ninguno"/>
          <w:rFonts w:ascii="Arial Narrow" w:hAnsi="Arial Narrow"/>
          <w:sz w:val="26"/>
          <w:szCs w:val="26"/>
        </w:rPr>
        <w:t xml:space="preserve">”. </w:t>
      </w:r>
    </w:p>
    <w:p w:rsidR="00774F61" w:rsidRDefault="004B308B">
      <w:pPr>
        <w:pStyle w:val="Textoindependiente"/>
        <w:widowControl w:val="0"/>
        <w:shd w:val="clear" w:color="auto" w:fill="FFFFFF"/>
        <w:tabs>
          <w:tab w:val="left" w:pos="729"/>
        </w:tabs>
        <w:spacing w:after="142"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De la Cuadra ha recordado que, en las condiciones urbanísticas actuales, es más barato en un hipotético caso para el Ayuntamiento expropiar un suelo rústico que un sistema general</w:t>
      </w:r>
      <w:r w:rsidR="00D16BFB">
        <w:rPr>
          <w:rStyle w:val="Ninguno"/>
          <w:rFonts w:ascii="Arial Narrow" w:hAnsi="Arial Narrow"/>
          <w:sz w:val="26"/>
          <w:szCs w:val="26"/>
        </w:rPr>
        <w:t xml:space="preserve"> no como antes que era más caro el sistema general</w:t>
      </w:r>
      <w:r>
        <w:rPr>
          <w:rStyle w:val="Ninguno"/>
          <w:rFonts w:ascii="Arial Narrow" w:hAnsi="Arial Narrow"/>
          <w:sz w:val="26"/>
          <w:szCs w:val="26"/>
        </w:rPr>
        <w:t xml:space="preserve">, al tiempo que ha asegurado que también hay previsión para una futura ampliación de la planta de reciclaje y compostaje de Las Calandrias. De esta forma, no hay ningún obstáculo legal, ni técnico, de interés general a futuro que frene una modificación </w:t>
      </w:r>
      <w:r>
        <w:rPr>
          <w:rStyle w:val="Ninguno"/>
          <w:rFonts w:ascii="Arial Narrow" w:hAnsi="Arial Narrow"/>
          <w:sz w:val="26"/>
          <w:szCs w:val="26"/>
        </w:rPr>
        <w:lastRenderedPageBreak/>
        <w:t xml:space="preserve">del PGOU, ha insistido, que inició y paralizó el anterior Gobierno del PSOE. </w:t>
      </w:r>
    </w:p>
    <w:p w:rsidR="00774F61" w:rsidRDefault="004B308B">
      <w:pPr>
        <w:pStyle w:val="Poromisin"/>
        <w:spacing w:before="0" w:line="240" w:lineRule="auto"/>
        <w:jc w:val="both"/>
        <w:rPr>
          <w:rStyle w:val="Ninguno"/>
          <w:rFonts w:ascii="Arial Narrow" w:eastAsia="Arial Narrow" w:hAnsi="Arial Narrow" w:cs="Arial Narrow"/>
          <w:sz w:val="26"/>
          <w:szCs w:val="26"/>
        </w:rPr>
      </w:pPr>
      <w:r>
        <w:rPr>
          <w:rStyle w:val="Ninguno"/>
          <w:rFonts w:ascii="Arial Narrow" w:hAnsi="Arial Narrow"/>
          <w:sz w:val="26"/>
          <w:szCs w:val="26"/>
        </w:rPr>
        <w:t>Valoriza Servicios Medioambientales, S.A. fue quien presentó hace unos años la iniciativa de la modificación de la ordenación urbanística. Esta empresa actualmente lleva a cabo la gestión de los lodos de la planta depuradora de aguas residuales del Portal, y es la propietaria de los terrenos objeto de la modificación.</w:t>
      </w:r>
    </w:p>
    <w:p w:rsidR="00774F61" w:rsidRDefault="00774F61">
      <w:pPr>
        <w:pStyle w:val="Poromisin"/>
        <w:spacing w:before="0" w:line="240" w:lineRule="auto"/>
        <w:jc w:val="both"/>
        <w:rPr>
          <w:rStyle w:val="Ninguno"/>
          <w:rFonts w:ascii="Arial Narrow" w:eastAsia="Arial Narrow" w:hAnsi="Arial Narrow" w:cs="Arial Narrow"/>
          <w:sz w:val="26"/>
          <w:szCs w:val="26"/>
        </w:rPr>
      </w:pPr>
    </w:p>
    <w:p w:rsidR="002607B8" w:rsidRPr="002607B8" w:rsidRDefault="002607B8">
      <w:pPr>
        <w:pStyle w:val="Poromisin"/>
        <w:spacing w:before="0" w:line="240" w:lineRule="auto"/>
        <w:jc w:val="both"/>
        <w:rPr>
          <w:rStyle w:val="Ninguno"/>
          <w:rFonts w:ascii="Arial Narrow" w:eastAsia="Arial Narrow" w:hAnsi="Arial Narrow" w:cs="Arial Narrow"/>
          <w:b/>
          <w:sz w:val="26"/>
          <w:szCs w:val="26"/>
        </w:rPr>
      </w:pPr>
      <w:r w:rsidRPr="002607B8">
        <w:rPr>
          <w:rStyle w:val="Ninguno"/>
          <w:rFonts w:ascii="Arial Narrow" w:eastAsia="Arial Narrow" w:hAnsi="Arial Narrow" w:cs="Arial Narrow"/>
          <w:b/>
          <w:sz w:val="26"/>
          <w:szCs w:val="26"/>
        </w:rPr>
        <w:t>Objeto de la modificación</w:t>
      </w:r>
    </w:p>
    <w:p w:rsidR="002607B8" w:rsidRDefault="002607B8">
      <w:pPr>
        <w:pStyle w:val="Poromisin"/>
        <w:spacing w:before="0" w:line="240" w:lineRule="auto"/>
        <w:jc w:val="both"/>
        <w:rPr>
          <w:rStyle w:val="Ninguno"/>
          <w:rFonts w:ascii="Arial Narrow" w:eastAsia="Arial Narrow" w:hAnsi="Arial Narrow" w:cs="Arial Narrow"/>
          <w:sz w:val="26"/>
          <w:szCs w:val="26"/>
        </w:rPr>
      </w:pPr>
    </w:p>
    <w:p w:rsidR="00774F61" w:rsidRPr="004B308B" w:rsidRDefault="004B308B">
      <w:pPr>
        <w:pStyle w:val="Poromisin"/>
        <w:spacing w:before="0" w:line="240" w:lineRule="auto"/>
        <w:jc w:val="both"/>
        <w:rPr>
          <w:rStyle w:val="Ninguno"/>
          <w:rFonts w:ascii="Arial Narrow" w:eastAsia="Times New Roman" w:hAnsi="Arial Narrow" w:cs="Times New Roman"/>
          <w:sz w:val="26"/>
          <w:szCs w:val="26"/>
        </w:rPr>
      </w:pPr>
      <w:r w:rsidRPr="004B308B">
        <w:rPr>
          <w:rStyle w:val="Ninguno"/>
          <w:rFonts w:ascii="Arial Narrow" w:hAnsi="Arial Narrow"/>
          <w:sz w:val="26"/>
          <w:szCs w:val="26"/>
        </w:rPr>
        <w:t>El objeto de la modificació</w:t>
      </w:r>
      <w:bookmarkStart w:id="0" w:name="_GoBack"/>
      <w:bookmarkEnd w:id="0"/>
      <w:r w:rsidRPr="004B308B">
        <w:rPr>
          <w:rStyle w:val="Ninguno"/>
          <w:rFonts w:ascii="Arial Narrow" w:hAnsi="Arial Narrow"/>
          <w:sz w:val="26"/>
          <w:szCs w:val="26"/>
        </w:rPr>
        <w:t>n va a subsanar un error puntual presente en el PGOU de Jerez en relación a la calificación de un á</w:t>
      </w:r>
      <w:r w:rsidRPr="004B308B">
        <w:rPr>
          <w:rStyle w:val="Ninguno"/>
          <w:rFonts w:ascii="Arial Narrow" w:hAnsi="Arial Narrow"/>
          <w:sz w:val="26"/>
          <w:szCs w:val="26"/>
          <w:lang w:val="it-IT"/>
        </w:rPr>
        <w:t xml:space="preserve">mbito concreto </w:t>
      </w:r>
      <w:r w:rsidRPr="004B308B">
        <w:rPr>
          <w:rStyle w:val="Ninguno"/>
          <w:rFonts w:ascii="Arial Narrow" w:hAnsi="Arial Narrow"/>
          <w:sz w:val="26"/>
          <w:szCs w:val="26"/>
        </w:rPr>
        <w:t>marcado actualmente como Sistema General de Infraestructuras. En este á</w:t>
      </w:r>
      <w:r w:rsidRPr="004B308B">
        <w:rPr>
          <w:rStyle w:val="Ninguno"/>
          <w:rFonts w:ascii="Arial Narrow" w:hAnsi="Arial Narrow"/>
          <w:sz w:val="26"/>
          <w:szCs w:val="26"/>
          <w:lang w:val="it-IT"/>
        </w:rPr>
        <w:t>mbito</w:t>
      </w:r>
      <w:r w:rsidRPr="004B308B">
        <w:rPr>
          <w:rFonts w:ascii="Arial Narrow" w:hAnsi="Arial Narrow"/>
          <w:sz w:val="26"/>
          <w:szCs w:val="26"/>
        </w:rPr>
        <w:t xml:space="preserve"> y con esta calificación del Suelo No Urbanizable del PGOU de Jerez se localizan tanto parcelas de titularidad pública (las que alberga la planta de Las Calandrias), como parcelas de titularidad y usos privados (las que albergan las instalaciones de tratamiento de residuos de la empresa </w:t>
      </w:r>
      <w:proofErr w:type="spellStart"/>
      <w:r w:rsidRPr="004B308B">
        <w:rPr>
          <w:rFonts w:ascii="Arial Narrow" w:hAnsi="Arial Narrow"/>
          <w:sz w:val="26"/>
          <w:szCs w:val="26"/>
        </w:rPr>
        <w:t>Verinsur</w:t>
      </w:r>
      <w:proofErr w:type="spellEnd"/>
      <w:r w:rsidRPr="004B308B">
        <w:rPr>
          <w:rFonts w:ascii="Arial Narrow" w:hAnsi="Arial Narrow"/>
          <w:sz w:val="26"/>
          <w:szCs w:val="26"/>
        </w:rPr>
        <w:t>, Gestión Integral de Residuos, S.A., y la de tratamiento de lodos procedentes de la depuradora, de la empresa Valoriza Servicios Medioambientales, S.A</w:t>
      </w:r>
      <w:r>
        <w:rPr>
          <w:rFonts w:ascii="Arial Narrow" w:hAnsi="Arial Narrow"/>
          <w:sz w:val="26"/>
          <w:szCs w:val="26"/>
        </w:rPr>
        <w:t>)</w:t>
      </w:r>
      <w:r w:rsidRPr="004B308B">
        <w:rPr>
          <w:rFonts w:ascii="Arial Narrow" w:hAnsi="Arial Narrow"/>
          <w:sz w:val="26"/>
          <w:szCs w:val="26"/>
        </w:rPr>
        <w:t>.</w:t>
      </w:r>
    </w:p>
    <w:p w:rsidR="00774F61" w:rsidRPr="004B308B" w:rsidRDefault="004B308B">
      <w:pPr>
        <w:pStyle w:val="Poromisin"/>
        <w:spacing w:before="0" w:line="240" w:lineRule="auto"/>
        <w:jc w:val="both"/>
        <w:rPr>
          <w:rFonts w:ascii="Arial Narrow" w:eastAsia="Times New Roman" w:hAnsi="Arial Narrow" w:cs="Times New Roman"/>
          <w:sz w:val="26"/>
          <w:szCs w:val="26"/>
        </w:rPr>
      </w:pPr>
      <w:r w:rsidRPr="004B308B">
        <w:rPr>
          <w:rFonts w:ascii="Arial Narrow" w:hAnsi="Arial Narrow"/>
          <w:sz w:val="26"/>
          <w:szCs w:val="26"/>
        </w:rPr>
        <w:t> </w:t>
      </w:r>
    </w:p>
    <w:p w:rsidR="00774F61" w:rsidRPr="004B308B" w:rsidRDefault="004B308B">
      <w:pPr>
        <w:pStyle w:val="Poromisin"/>
        <w:spacing w:before="0" w:line="240" w:lineRule="auto"/>
        <w:jc w:val="both"/>
        <w:rPr>
          <w:rFonts w:ascii="Arial Narrow" w:eastAsia="Arial" w:hAnsi="Arial Narrow" w:cs="Arial"/>
          <w:sz w:val="26"/>
          <w:szCs w:val="26"/>
        </w:rPr>
      </w:pPr>
      <w:r w:rsidRPr="004B308B">
        <w:rPr>
          <w:rFonts w:ascii="Arial Narrow" w:hAnsi="Arial Narrow"/>
          <w:sz w:val="26"/>
          <w:szCs w:val="26"/>
        </w:rPr>
        <w:t>Como recoge la pro</w:t>
      </w:r>
      <w:r>
        <w:rPr>
          <w:rFonts w:ascii="Arial Narrow" w:hAnsi="Arial Narrow"/>
          <w:sz w:val="26"/>
          <w:szCs w:val="26"/>
        </w:rPr>
        <w:t>puesta que ha sido debatida en P</w:t>
      </w:r>
      <w:r w:rsidRPr="004B308B">
        <w:rPr>
          <w:rFonts w:ascii="Arial Narrow" w:hAnsi="Arial Narrow"/>
          <w:sz w:val="26"/>
          <w:szCs w:val="26"/>
        </w:rPr>
        <w:t>leno, “se trata de subsanar un error en la calificación de terrenos en el PGOU vigente de Jerez de la Frontera, en la zona de Bolaños. En concreto, se trata de eliminar la calificación de sistema general de infraestructura urbana en terrenos de titularidad privada. Esta modificación no afecta a la clasificació</w:t>
      </w:r>
      <w:r>
        <w:rPr>
          <w:rFonts w:ascii="Arial Narrow" w:hAnsi="Arial Narrow"/>
          <w:sz w:val="26"/>
          <w:szCs w:val="26"/>
        </w:rPr>
        <w:t>n de suelo vigente</w:t>
      </w:r>
      <w:r w:rsidRPr="004B308B">
        <w:rPr>
          <w:rFonts w:ascii="Arial Narrow" w:hAnsi="Arial Narrow"/>
          <w:sz w:val="26"/>
          <w:szCs w:val="26"/>
        </w:rPr>
        <w:t xml:space="preserve"> </w:t>
      </w:r>
      <w:proofErr w:type="spellStart"/>
      <w:r w:rsidRPr="004B308B">
        <w:rPr>
          <w:rFonts w:ascii="Arial Narrow" w:hAnsi="Arial Narrow"/>
          <w:sz w:val="26"/>
          <w:szCs w:val="26"/>
        </w:rPr>
        <w:t>manteni</w:t>
      </w:r>
      <w:proofErr w:type="spellEnd"/>
      <w:r w:rsidRPr="004B308B">
        <w:rPr>
          <w:rFonts w:ascii="Arial Narrow" w:hAnsi="Arial Narrow"/>
          <w:sz w:val="26"/>
          <w:szCs w:val="26"/>
          <w:lang w:val="fr-FR"/>
        </w:rPr>
        <w:t>é</w:t>
      </w:r>
      <w:proofErr w:type="spellStart"/>
      <w:r w:rsidRPr="004B308B">
        <w:rPr>
          <w:rFonts w:ascii="Arial Narrow" w:hAnsi="Arial Narrow"/>
          <w:sz w:val="26"/>
          <w:szCs w:val="26"/>
        </w:rPr>
        <w:t>ndose</w:t>
      </w:r>
      <w:proofErr w:type="spellEnd"/>
      <w:r w:rsidRPr="004B308B">
        <w:rPr>
          <w:rFonts w:ascii="Arial Narrow" w:hAnsi="Arial Narrow"/>
          <w:sz w:val="26"/>
          <w:szCs w:val="26"/>
        </w:rPr>
        <w:t xml:space="preserve"> la clasificación de suelo rústico (suelo no urbanizable)”. </w:t>
      </w:r>
    </w:p>
    <w:p w:rsidR="00774F61" w:rsidRPr="004B308B" w:rsidRDefault="00774F61">
      <w:pPr>
        <w:pStyle w:val="Poromisin"/>
        <w:spacing w:before="0" w:line="240" w:lineRule="auto"/>
        <w:jc w:val="both"/>
        <w:rPr>
          <w:rFonts w:ascii="Arial Narrow" w:eastAsia="Arial" w:hAnsi="Arial Narrow" w:cs="Arial"/>
          <w:sz w:val="26"/>
          <w:szCs w:val="26"/>
        </w:rPr>
      </w:pPr>
    </w:p>
    <w:p w:rsidR="00774F61" w:rsidRPr="004B308B" w:rsidRDefault="004B308B">
      <w:pPr>
        <w:pStyle w:val="Poromisin"/>
        <w:spacing w:before="0" w:line="240" w:lineRule="auto"/>
        <w:jc w:val="both"/>
        <w:rPr>
          <w:rStyle w:val="Ninguno"/>
          <w:rFonts w:ascii="Arial Narrow" w:eastAsia="Arial Narrow" w:hAnsi="Arial Narrow" w:cs="Arial Narrow"/>
          <w:sz w:val="26"/>
          <w:szCs w:val="26"/>
        </w:rPr>
      </w:pPr>
      <w:r>
        <w:rPr>
          <w:rFonts w:ascii="Arial Narrow" w:hAnsi="Arial Narrow"/>
          <w:sz w:val="26"/>
          <w:szCs w:val="26"/>
        </w:rPr>
        <w:t>Del mismo modo</w:t>
      </w:r>
      <w:proofErr w:type="gramStart"/>
      <w:r>
        <w:rPr>
          <w:rFonts w:ascii="Arial Narrow" w:hAnsi="Arial Narrow"/>
          <w:sz w:val="26"/>
          <w:szCs w:val="26"/>
        </w:rPr>
        <w:t>,</w:t>
      </w:r>
      <w:r w:rsidRPr="004B308B">
        <w:rPr>
          <w:rFonts w:ascii="Arial Narrow" w:hAnsi="Arial Narrow"/>
          <w:sz w:val="26"/>
          <w:szCs w:val="26"/>
        </w:rPr>
        <w:t xml:space="preserve"> ”</w:t>
      </w:r>
      <w:proofErr w:type="gramEnd"/>
      <w:r w:rsidRPr="004B308B">
        <w:rPr>
          <w:rFonts w:ascii="Arial Narrow" w:hAnsi="Arial Narrow"/>
          <w:sz w:val="26"/>
          <w:szCs w:val="26"/>
        </w:rPr>
        <w:t xml:space="preserve">esta modificación permite el desarrollo pacífico de las actuales actividades </w:t>
      </w:r>
      <w:proofErr w:type="spellStart"/>
      <w:r w:rsidRPr="004B308B">
        <w:rPr>
          <w:rFonts w:ascii="Arial Narrow" w:hAnsi="Arial Narrow"/>
          <w:sz w:val="26"/>
          <w:szCs w:val="26"/>
        </w:rPr>
        <w:t>econó</w:t>
      </w:r>
      <w:proofErr w:type="spellEnd"/>
      <w:r w:rsidRPr="004B308B">
        <w:rPr>
          <w:rFonts w:ascii="Arial Narrow" w:hAnsi="Arial Narrow"/>
          <w:sz w:val="26"/>
          <w:szCs w:val="26"/>
          <w:lang w:val="pt-PT"/>
        </w:rPr>
        <w:t>micas de inter</w:t>
      </w:r>
      <w:r w:rsidRPr="004B308B">
        <w:rPr>
          <w:rFonts w:ascii="Arial Narrow" w:hAnsi="Arial Narrow"/>
          <w:sz w:val="26"/>
          <w:szCs w:val="26"/>
          <w:lang w:val="fr-FR"/>
        </w:rPr>
        <w:t>é</w:t>
      </w:r>
      <w:r w:rsidRPr="004B308B">
        <w:rPr>
          <w:rFonts w:ascii="Arial Narrow" w:hAnsi="Arial Narrow"/>
          <w:sz w:val="26"/>
          <w:szCs w:val="26"/>
        </w:rPr>
        <w:t xml:space="preserve">s general y asegura, al no tener que adquirir la titularidad de los terrenos por vía expropiatoria, que los recursos públicos no se dirijan a la indemnización de terrenos y actividades que no son necesarias para el servicio público municipal, sin quitar fondos para las necesidades </w:t>
      </w:r>
      <w:proofErr w:type="spellStart"/>
      <w:r w:rsidRPr="004B308B">
        <w:rPr>
          <w:rFonts w:ascii="Arial Narrow" w:hAnsi="Arial Narrow"/>
          <w:sz w:val="26"/>
          <w:szCs w:val="26"/>
        </w:rPr>
        <w:t>pú</w:t>
      </w:r>
      <w:proofErr w:type="spellEnd"/>
      <w:r w:rsidRPr="004B308B">
        <w:rPr>
          <w:rFonts w:ascii="Arial Narrow" w:hAnsi="Arial Narrow"/>
          <w:sz w:val="26"/>
          <w:szCs w:val="26"/>
          <w:lang w:val="pt-PT"/>
        </w:rPr>
        <w:t>blicas justificadas</w:t>
      </w:r>
      <w:r w:rsidRPr="004B308B">
        <w:rPr>
          <w:rFonts w:ascii="Arial Narrow" w:hAnsi="Arial Narrow"/>
          <w:sz w:val="26"/>
          <w:szCs w:val="26"/>
        </w:rPr>
        <w:t>”.</w:t>
      </w:r>
    </w:p>
    <w:p w:rsidR="00774F61" w:rsidRPr="004B308B" w:rsidRDefault="00774F61">
      <w:pPr>
        <w:pStyle w:val="Textoindependiente"/>
        <w:widowControl w:val="0"/>
        <w:shd w:val="clear" w:color="auto" w:fill="FFFFFF"/>
        <w:tabs>
          <w:tab w:val="left" w:pos="729"/>
        </w:tabs>
        <w:spacing w:after="142" w:line="240" w:lineRule="auto"/>
        <w:jc w:val="both"/>
        <w:rPr>
          <w:rFonts w:ascii="Arial Narrow" w:hAnsi="Arial Narrow"/>
          <w:sz w:val="26"/>
          <w:szCs w:val="26"/>
        </w:rPr>
      </w:pPr>
    </w:p>
    <w:sectPr w:rsidR="00774F61" w:rsidRPr="004B308B">
      <w:headerReference w:type="default" r:id="rId6"/>
      <w:footerReference w:type="default" r:id="rId7"/>
      <w:pgSz w:w="11900" w:h="16840"/>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89" w:rsidRDefault="004B308B">
      <w:r>
        <w:separator/>
      </w:r>
    </w:p>
  </w:endnote>
  <w:endnote w:type="continuationSeparator" w:id="0">
    <w:p w:rsidR="00CD0F89" w:rsidRDefault="004B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61" w:rsidRDefault="00774F61">
    <w:pPr>
      <w:pStyle w:val="Piedepgina"/>
      <w:tabs>
        <w:tab w:val="clear" w:pos="8504"/>
        <w:tab w:val="right" w:pos="762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89" w:rsidRDefault="004B308B">
      <w:r>
        <w:separator/>
      </w:r>
    </w:p>
  </w:footnote>
  <w:footnote w:type="continuationSeparator" w:id="0">
    <w:p w:rsidR="00CD0F89" w:rsidRDefault="004B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F61" w:rsidRDefault="004B308B">
    <w:pPr>
      <w:pStyle w:val="Encabezado"/>
      <w:tabs>
        <w:tab w:val="clear" w:pos="8504"/>
        <w:tab w:val="right" w:pos="7627"/>
      </w:tabs>
    </w:pPr>
    <w:r>
      <w:rPr>
        <w:noProof/>
        <w:lang w:val="es-ES"/>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lang w:val="es-ES"/>
      </w:rPr>
      <mc:AlternateContent>
        <mc:Choice Requires="wpg">
          <w:drawing>
            <wp:anchor distT="152400" distB="152400" distL="152400" distR="152400" simplePos="0" relativeHeight="251659264" behindDoc="1" locked="0" layoutInCell="1" allowOverlap="1">
              <wp:simplePos x="0" y="0"/>
              <wp:positionH relativeFrom="page">
                <wp:posOffset>294053</wp:posOffset>
              </wp:positionH>
              <wp:positionV relativeFrom="page">
                <wp:posOffset>1040764</wp:posOffset>
              </wp:positionV>
              <wp:extent cx="1206843" cy="9223865"/>
              <wp:effectExtent l="0" t="0" r="0" b="0"/>
              <wp:wrapNone/>
              <wp:docPr id="1073741828" name="officeArt object" descr="Imagen 1"/>
              <wp:cNvGraphicFramePr/>
              <a:graphic xmlns:a="http://schemas.openxmlformats.org/drawingml/2006/main">
                <a:graphicData uri="http://schemas.microsoft.com/office/word/2010/wordprocessingGroup">
                  <wpg:wgp>
                    <wpg:cNvGrpSpPr/>
                    <wpg:grpSpPr>
                      <a:xfrm>
                        <a:off x="0" y="0"/>
                        <a:ext cx="1206843" cy="9223865"/>
                        <a:chOff x="0" y="0"/>
                        <a:chExt cx="1206842" cy="9223864"/>
                      </a:xfrm>
                    </wpg:grpSpPr>
                    <wps:wsp>
                      <wps:cNvPr id="1073741826" name="Rectángulo"/>
                      <wps:cNvSpPr/>
                      <wps:spPr>
                        <a:xfrm>
                          <a:off x="0" y="0"/>
                          <a:ext cx="1206843" cy="922386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27" name="image1.jpeg" descr="image1.jpeg"/>
                        <pic:cNvPicPr>
                          <a:picLocks noChangeAspect="1"/>
                        </pic:cNvPicPr>
                      </pic:nvPicPr>
                      <pic:blipFill>
                        <a:blip r:embed="rId1">
                          <a:extLst/>
                        </a:blip>
                        <a:srcRect/>
                        <a:stretch>
                          <a:fillRect/>
                        </a:stretch>
                      </pic:blipFill>
                      <pic:spPr>
                        <a:xfrm>
                          <a:off x="62556" y="66007"/>
                          <a:ext cx="1081730" cy="9091850"/>
                        </a:xfrm>
                        <a:prstGeom prst="rect">
                          <a:avLst/>
                        </a:prstGeom>
                        <a:ln w="12700" cap="flat">
                          <a:noFill/>
                          <a:miter lim="400000"/>
                        </a:ln>
                        <a:effectLst/>
                      </pic:spPr>
                    </pic:pic>
                  </wpg:wgp>
                </a:graphicData>
              </a:graphic>
            </wp:anchor>
          </w:drawing>
        </mc:Choice>
        <mc:Fallback>
          <w:pict>
            <v:group id="_x0000_s1027" style="visibility:visible;position:absolute;margin-left:23.2pt;margin-top:81.9pt;width:95.0pt;height:726.3pt;z-index:-251657216;mso-position-horizontal:absolute;mso-position-horizontal-relative:page;mso-position-vertical:absolute;mso-position-vertical-relative:page;mso-wrap-distance-left:12.0pt;mso-wrap-distance-top:12.0pt;mso-wrap-distance-right:12.0pt;mso-wrap-distance-bottom:12.0pt;" coordorigin="0,0" coordsize="1206842,9223864">
              <w10:wrap type="none" side="bothSides" anchorx="page" anchory="page"/>
              <v:rect id="_x0000_s1028" style="position:absolute;left:0;top:0;width:1206842;height:9223864;">
                <v:fill color="#FFFFFF" opacity="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62556;top:66007;width:1081729;height:9091850;">
                <v:imagedata r:id="rId2" o:title="image1.jpeg"/>
              </v:shape>
            </v:group>
          </w:pict>
        </mc:Fallback>
      </mc:AlternateContent>
    </w:r>
    <w:r>
      <w:rPr>
        <w:noProof/>
        <w:lang w:val="es-ES"/>
      </w:rPr>
      <mc:AlternateContent>
        <mc:Choice Requires="wpg">
          <w:drawing>
            <wp:anchor distT="152400" distB="152400" distL="152400" distR="152400" simplePos="0" relativeHeight="251660288" behindDoc="1" locked="0" layoutInCell="1" allowOverlap="1">
              <wp:simplePos x="0" y="0"/>
              <wp:positionH relativeFrom="page">
                <wp:posOffset>350683</wp:posOffset>
              </wp:positionH>
              <wp:positionV relativeFrom="page">
                <wp:posOffset>8159115</wp:posOffset>
              </wp:positionV>
              <wp:extent cx="793750" cy="1110615"/>
              <wp:effectExtent l="0" t="0" r="0" b="0"/>
              <wp:wrapNone/>
              <wp:docPr id="1073741831" name="officeArt object" descr="Imagen 2"/>
              <wp:cNvGraphicFramePr/>
              <a:graphic xmlns:a="http://schemas.openxmlformats.org/drawingml/2006/main">
                <a:graphicData uri="http://schemas.microsoft.com/office/word/2010/wordprocessingGroup">
                  <wpg:wgp>
                    <wpg:cNvGrpSpPr/>
                    <wpg:grpSpPr>
                      <a:xfrm>
                        <a:off x="0" y="0"/>
                        <a:ext cx="793750" cy="1110615"/>
                        <a:chOff x="0" y="0"/>
                        <a:chExt cx="793750" cy="1110614"/>
                      </a:xfrm>
                    </wpg:grpSpPr>
                    <wps:wsp>
                      <wps:cNvPr id="1073741829" name="Rectángulo"/>
                      <wps:cNvSpPr/>
                      <wps:spPr>
                        <a:xfrm>
                          <a:off x="0" y="0"/>
                          <a:ext cx="793750" cy="1110615"/>
                        </a:xfrm>
                        <a:prstGeom prst="rect">
                          <a:avLst/>
                        </a:prstGeom>
                        <a:solidFill>
                          <a:srgbClr val="FFFFFF">
                            <a:alpha val="0"/>
                          </a:srgbClr>
                        </a:solidFill>
                        <a:ln w="12700" cap="flat">
                          <a:noFill/>
                          <a:miter lim="400000"/>
                        </a:ln>
                        <a:effectLst/>
                      </wps:spPr>
                      <wps:bodyPr/>
                    </wps:wsp>
                    <pic:pic xmlns:pic="http://schemas.openxmlformats.org/drawingml/2006/picture">
                      <pic:nvPicPr>
                        <pic:cNvPr id="1073741830" name="image2.jpeg" descr="image2.jpeg"/>
                        <pic:cNvPicPr>
                          <a:picLocks noChangeAspect="1"/>
                        </pic:cNvPicPr>
                      </pic:nvPicPr>
                      <pic:blipFill>
                        <a:blip r:embed="rId3">
                          <a:extLst/>
                        </a:blip>
                        <a:srcRect l="1296" r="1296"/>
                        <a:stretch>
                          <a:fillRect/>
                        </a:stretch>
                      </pic:blipFill>
                      <pic:spPr>
                        <a:xfrm>
                          <a:off x="-1" y="0"/>
                          <a:ext cx="793751" cy="1110615"/>
                        </a:xfrm>
                        <a:prstGeom prst="rect">
                          <a:avLst/>
                        </a:prstGeom>
                        <a:ln w="12700" cap="flat">
                          <a:noFill/>
                          <a:miter lim="400000"/>
                        </a:ln>
                        <a:effectLst/>
                      </pic:spPr>
                    </pic:pic>
                  </wpg:wgp>
                </a:graphicData>
              </a:graphic>
            </wp:anchor>
          </w:drawing>
        </mc:Choice>
        <mc:Fallback>
          <w:pict>
            <v:group id="_x0000_s1030" style="visibility:visible;position:absolute;margin-left:27.6pt;margin-top:642.5pt;width:62.5pt;height:87.4pt;z-index:-251656192;mso-position-horizontal:absolute;mso-position-horizontal-relative:page;mso-position-vertical:absolute;mso-position-vertical-relative:page;mso-wrap-distance-left:12.0pt;mso-wrap-distance-top:12.0pt;mso-wrap-distance-right:12.0pt;mso-wrap-distance-bottom:12.0pt;" coordorigin="0,0" coordsize="793750,1110615">
              <w10:wrap type="none" side="bothSides" anchorx="page" anchory="page"/>
              <v:rect id="_x0000_s1031" style="position:absolute;left:0;top:0;width:793750;height:1110615;">
                <v:fill color="#FFFFFF" opacity="0.0%" type="solid"/>
                <v:stroke on="f" weight="1.0pt" dashstyle="solid" endcap="flat" miterlimit="400.0%" joinstyle="miter" linestyle="single" startarrow="none" startarrowwidth="medium" startarrowlength="medium" endarrow="none" endarrowwidth="medium" endarrowlength="medium"/>
              </v:rect>
              <v:shape id="_x0000_s1032" type="#_x0000_t75" style="position:absolute;left:0;top:0;width:793750;height:1110615;">
                <v:imagedata r:id="rId4" o:title="image2.jpeg" cropleft="1.3%" cropright="1.3%"/>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61"/>
    <w:rsid w:val="002607B8"/>
    <w:rsid w:val="004B308B"/>
    <w:rsid w:val="00774F61"/>
    <w:rsid w:val="00CD0F89"/>
    <w:rsid w:val="00D16BFB"/>
    <w:rsid w:val="00F55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EBD8E-34DF-4916-BA68-AD7BA0DF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suppressAutoHyphens/>
    </w:pPr>
    <w:rPr>
      <w:rFonts w:ascii="Tahoma" w:hAnsi="Tahoma" w:cs="Arial Unicode MS"/>
      <w:color w:val="000000"/>
      <w:kern w:val="2"/>
      <w:sz w:val="24"/>
      <w:szCs w:val="24"/>
      <w:u w:color="000000"/>
      <w:lang w:val="es-ES_tradnl"/>
    </w:rPr>
  </w:style>
  <w:style w:type="paragraph" w:styleId="Piedepgina">
    <w:name w:val="footer"/>
    <w:pPr>
      <w:tabs>
        <w:tab w:val="center" w:pos="4252"/>
        <w:tab w:val="right" w:pos="8504"/>
      </w:tabs>
      <w:suppressAutoHyphens/>
    </w:pPr>
    <w:rPr>
      <w:rFonts w:ascii="Tahoma" w:hAnsi="Tahoma" w:cs="Arial Unicode MS"/>
      <w:color w:val="000000"/>
      <w:kern w:val="2"/>
      <w:sz w:val="24"/>
      <w:szCs w:val="24"/>
      <w:u w:color="000000"/>
      <w:lang w:val="es-ES_tradnl"/>
    </w:rPr>
  </w:style>
  <w:style w:type="paragraph" w:styleId="Textoindependiente">
    <w:name w:val="Body Text"/>
    <w:pPr>
      <w:suppressAutoHyphens/>
      <w:spacing w:after="140" w:line="288" w:lineRule="auto"/>
    </w:pPr>
    <w:rPr>
      <w:rFonts w:ascii="Tahoma" w:hAnsi="Tahoma" w:cs="Arial Unicode MS"/>
      <w:color w:val="000000"/>
      <w:kern w:val="2"/>
      <w:sz w:val="24"/>
      <w:szCs w:val="24"/>
      <w:u w:color="000000"/>
      <w:lang w:val="es-ES_tradnl"/>
    </w:rPr>
  </w:style>
  <w:style w:type="character" w:customStyle="1" w:styleId="Ninguno">
    <w:name w:val="Ninguno"/>
    <w:rPr>
      <w:lang w:val="es-ES_tradnl"/>
    </w:rPr>
  </w:style>
  <w:style w:type="paragraph" w:customStyle="1" w:styleId="Poromisin">
    <w:name w:val="Por omisión"/>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682</Words>
  <Characters>3756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Isabel Maestro de Pablos</cp:lastModifiedBy>
  <cp:revision>5</cp:revision>
  <dcterms:created xsi:type="dcterms:W3CDTF">2024-07-26T08:17:00Z</dcterms:created>
  <dcterms:modified xsi:type="dcterms:W3CDTF">2024-07-26T08:53:00Z</dcterms:modified>
</cp:coreProperties>
</file>