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4DE7D4" w14:textId="77777777" w:rsidR="00186EB3" w:rsidRDefault="00186EB3" w:rsidP="00186EB3">
      <w:pPr>
        <w:pStyle w:val="Textoindependiente"/>
        <w:widowControl w:val="0"/>
        <w:shd w:val="clear" w:color="auto" w:fill="FFFFFF"/>
        <w:tabs>
          <w:tab w:val="left" w:pos="729"/>
        </w:tabs>
        <w:spacing w:after="142" w:line="240" w:lineRule="auto"/>
        <w:rPr>
          <w:rFonts w:ascii="Arial Narrow" w:eastAsia="Arial" w:hAnsi="Arial Narrow" w:cs="Arial Narrow"/>
          <w:bCs/>
          <w:sz w:val="26"/>
          <w:szCs w:val="26"/>
          <w:lang w:eastAsia="es-ES_tradnl"/>
        </w:rPr>
      </w:pPr>
      <w:r>
        <w:rPr>
          <w:rFonts w:ascii="Arial Narrow" w:hAnsi="Arial Narrow" w:cs="Arial Narrow"/>
          <w:b/>
          <w:bCs/>
          <w:sz w:val="40"/>
          <w:szCs w:val="40"/>
          <w:lang w:eastAsia="es-ES_tradnl"/>
        </w:rPr>
        <w:t>Jerez contará desde este mes con un Centro de Emprendimiento Digital impulsado por la Junta de Andalucía</w:t>
      </w:r>
    </w:p>
    <w:p w14:paraId="62C3A161" w14:textId="77777777" w:rsidR="00186EB3" w:rsidRDefault="00186EB3" w:rsidP="00186EB3">
      <w:pPr>
        <w:pStyle w:val="Textoindependiente"/>
        <w:widowControl w:val="0"/>
        <w:shd w:val="clear" w:color="auto" w:fill="FFFFFF"/>
        <w:tabs>
          <w:tab w:val="left" w:pos="729"/>
        </w:tabs>
        <w:spacing w:after="142" w:line="240" w:lineRule="auto"/>
        <w:rPr>
          <w:sz w:val="32"/>
          <w:szCs w:val="32"/>
        </w:rPr>
      </w:pPr>
      <w:r>
        <w:rPr>
          <w:rFonts w:ascii="Arial Narrow" w:eastAsia="Arial" w:hAnsi="Arial Narrow" w:cs="Arial Narrow"/>
          <w:sz w:val="32"/>
          <w:szCs w:val="32"/>
          <w:lang w:eastAsia="es-ES_tradnl"/>
        </w:rPr>
        <w:t>Tendrá una inversión de 3,7 millones de euros y se pondrá en marcha con doce cursos</w:t>
      </w:r>
    </w:p>
    <w:p w14:paraId="0612FFA0" w14:textId="77777777" w:rsidR="00186EB3" w:rsidRDefault="00186EB3" w:rsidP="00186EB3">
      <w:pPr>
        <w:pStyle w:val="Textoindependiente"/>
        <w:widowControl w:val="0"/>
        <w:shd w:val="clear" w:color="auto" w:fill="FFFFFF"/>
        <w:tabs>
          <w:tab w:val="left" w:pos="729"/>
        </w:tabs>
        <w:spacing w:after="142" w:line="240" w:lineRule="auto"/>
      </w:pPr>
      <w:r>
        <w:rPr>
          <w:rFonts w:ascii="Arial Narrow" w:hAnsi="Arial Narrow" w:cs="Arial Narrow"/>
          <w:sz w:val="32"/>
          <w:szCs w:val="32"/>
          <w:lang w:eastAsia="es-ES_tradnl"/>
        </w:rPr>
        <w:t>García-Pelayo y el consejero de Presidencia, Antonio Sanz, firman un protocolo para el desarrollo de la Economía Digital en Jerez</w:t>
      </w:r>
      <w:r>
        <w:rPr>
          <w:rFonts w:ascii="Arial Narrow" w:eastAsia="Arial" w:hAnsi="Arial Narrow" w:cs="Arial Narrow"/>
          <w:sz w:val="32"/>
          <w:szCs w:val="32"/>
          <w:lang w:eastAsia="es-ES_tradnl"/>
        </w:rPr>
        <w:t xml:space="preserve"> </w:t>
      </w:r>
    </w:p>
    <w:p w14:paraId="21E55A7E"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11 de octubre de 2024.</w:t>
      </w:r>
      <w:r>
        <w:rPr>
          <w:rFonts w:ascii="Arial Narrow" w:eastAsia="Arial" w:hAnsi="Arial Narrow" w:cs="Arial Narrow"/>
          <w:bCs/>
          <w:sz w:val="26"/>
          <w:szCs w:val="26"/>
          <w:lang w:eastAsia="es-ES_tradnl"/>
        </w:rPr>
        <w:t xml:space="preserve"> El Parque Tecnológico Agroalimentario de Jerez albergará desde este mismo mes un Centro de Emprendimiento Digital impulsado por la Junta a través de la Agencia Digital de Andalucía para desarrollar la formación tecnológica  y atraer nuevos proyectos empresariales a la ciudad. Así lo ha anunciado el consejero de Presidencia, Interior, Diálogo Social y Simplificación Administrativa, Antonio Sanz, quien junto a la alcaldesa de Jerez, María José García-Pelayo, ha firmado en el Ayuntamiento un protocolo en materia digital. </w:t>
      </w:r>
    </w:p>
    <w:p w14:paraId="76CD648B"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4097215B"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Un acuerdo en el que se inscribe dicho proyecto y que establece las bases de colaboración en el desarrollo conjunto de actuaciones formativas y de tutorización para el impulso de la Economía Digital en Jerez a través de la mejora de la formación y la empleabilidad de los jóvenes en el ámbito de las nuevas tecnologías así como de emprendedores y empresas.</w:t>
      </w:r>
    </w:p>
    <w:p w14:paraId="00E77974"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4B2AFF01"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Junta y Antonio Sanz nunca vienen con las manos vacías para Jerez y en el día de hoy se vuelve a sumar a un proyecto importante como es digitalizar nuestra ciudad y hacerla competitiva en un mundo global. Creo que con un ritmo acelerado estamos dando pasos importantes para conseguir ese objetivo y este convenio fortalece este proyecto y abre nuevas expectativa en materia tecnológica para Jerez”, ha afirmado la alcaldesa tras la firma. </w:t>
      </w:r>
    </w:p>
    <w:p w14:paraId="4B85951E"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5EB67757"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¨Hoy damos un paso más para que las empresas, que son los generadores de empleo, se adapten a las oportunidades de la vida digital. Un centro especialmente orientado a la formación en sectores estratégicos para la ciudad como el aeroespacial que cuenta con una importante inversión de 3,7 millones de euros en cuatro años y que arrancará este mismo mes de octubre”, ha afirmado el consejero durante su intervención. </w:t>
      </w:r>
    </w:p>
    <w:p w14:paraId="190D1D79"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27306EC5"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El centro perseguirá varios objetivos fundamentales como son la formación de desempleados para cubrir la demanda de empleo que existe en el marco digital, de actuales profesionales que aún no han tenido contacto con dicho entorno y en </w:t>
      </w:r>
      <w:r>
        <w:rPr>
          <w:rFonts w:ascii="Arial Narrow" w:eastAsia="Arial" w:hAnsi="Arial Narrow" w:cs="Arial Narrow"/>
          <w:bCs/>
          <w:sz w:val="26"/>
          <w:szCs w:val="26"/>
          <w:lang w:eastAsia="es-ES_tradnl"/>
        </w:rPr>
        <w:lastRenderedPageBreak/>
        <w:t xml:space="preserve">tercer lugar que sirva de base para que </w:t>
      </w:r>
      <w:proofErr w:type="spellStart"/>
      <w:r>
        <w:rPr>
          <w:rFonts w:ascii="Arial Narrow" w:eastAsia="Arial" w:hAnsi="Arial Narrow" w:cs="Arial Narrow"/>
          <w:bCs/>
          <w:sz w:val="26"/>
          <w:szCs w:val="26"/>
          <w:lang w:eastAsia="es-ES_tradnl"/>
        </w:rPr>
        <w:t>startups</w:t>
      </w:r>
      <w:proofErr w:type="spellEnd"/>
      <w:r>
        <w:rPr>
          <w:rFonts w:ascii="Arial Narrow" w:eastAsia="Arial" w:hAnsi="Arial Narrow" w:cs="Arial Narrow"/>
          <w:bCs/>
          <w:sz w:val="26"/>
          <w:szCs w:val="26"/>
          <w:lang w:eastAsia="es-ES_tradnl"/>
        </w:rPr>
        <w:t xml:space="preserve"> y otras empresas de nueva creación de integren en una experiencia productiva. Durante este mismo mes se abrirá la convocatoria de doce cursos que incluirán contenidos como la Inteligencia Artificial o la </w:t>
      </w:r>
      <w:proofErr w:type="spellStart"/>
      <w:r>
        <w:rPr>
          <w:rFonts w:ascii="Arial Narrow" w:eastAsia="Arial" w:hAnsi="Arial Narrow" w:cs="Arial Narrow"/>
          <w:bCs/>
          <w:sz w:val="26"/>
          <w:szCs w:val="26"/>
          <w:lang w:eastAsia="es-ES_tradnl"/>
        </w:rPr>
        <w:t>Ciberseguridad</w:t>
      </w:r>
      <w:proofErr w:type="spellEnd"/>
      <w:r>
        <w:rPr>
          <w:rFonts w:ascii="Arial Narrow" w:eastAsia="Arial" w:hAnsi="Arial Narrow" w:cs="Arial Narrow"/>
          <w:bCs/>
          <w:sz w:val="26"/>
          <w:szCs w:val="26"/>
          <w:lang w:eastAsia="es-ES_tradnl"/>
        </w:rPr>
        <w:t xml:space="preserve"> entre otros.</w:t>
      </w:r>
    </w:p>
    <w:p w14:paraId="08163DCF"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584DD131" w14:textId="77777777" w:rsidR="00186EB3" w:rsidRDefault="00186EB3" w:rsidP="00186EB3">
      <w:pPr>
        <w:tabs>
          <w:tab w:val="left" w:pos="3045"/>
        </w:tabs>
        <w:jc w:val="both"/>
        <w:rPr>
          <w:b/>
          <w:bCs/>
        </w:rPr>
      </w:pPr>
      <w:r>
        <w:rPr>
          <w:rFonts w:ascii="Arial Narrow" w:eastAsia="Arial" w:hAnsi="Arial Narrow" w:cs="Arial Narrow"/>
          <w:b/>
          <w:bCs/>
          <w:sz w:val="26"/>
          <w:szCs w:val="26"/>
          <w:lang w:eastAsia="es-ES_tradnl"/>
        </w:rPr>
        <w:t>Un Jerez Digital</w:t>
      </w:r>
    </w:p>
    <w:p w14:paraId="3C5F17F9"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272776C3" w14:textId="77777777" w:rsidR="00186EB3" w:rsidRDefault="00186EB3" w:rsidP="00186EB3">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El protocolo firmado este viernes permitirá el impulso, coordinación y desarrollo de programas de capacitación en competencias digitales para impulsar el proceso de digitalización de las empresas así como de iniciativas dirigidas a cubrir la demanda de especialistas de tecnologías digitales transformadoras y nuevas profesiones de la economía digital y programas de atracción, desarrollo y retención del talento digital e innovador. De esta manera el Gobierno autonómico -a través de la Agencia Digital de Andalucía- y el Ayuntamiento de Jerez aúnan esfuerzos en proyectos y acciones que impulsen el desarrollo de las competencias digitales, la transformación digital y la incorporación de las empresas a la economía y el emprendimiento digital. </w:t>
      </w:r>
    </w:p>
    <w:p w14:paraId="3003DF5F"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1F9D12C2" w14:textId="77777777" w:rsidR="00186EB3" w:rsidRDefault="00186EB3" w:rsidP="00186EB3">
      <w:pPr>
        <w:pStyle w:val="Textoindependiente"/>
        <w:spacing w:line="240" w:lineRule="auto"/>
        <w:jc w:val="both"/>
        <w:rPr>
          <w:rFonts w:ascii="Arial Narrow" w:hAnsi="Arial Narrow" w:cs="Arial Narrow"/>
          <w:sz w:val="26"/>
          <w:szCs w:val="26"/>
        </w:rPr>
      </w:pPr>
      <w:r>
        <w:rPr>
          <w:rFonts w:ascii="Arial Narrow" w:eastAsia="Arial" w:hAnsi="Arial Narrow" w:cs="Arial Narrow"/>
          <w:bCs/>
          <w:sz w:val="26"/>
          <w:szCs w:val="26"/>
          <w:lang w:eastAsia="es-ES_tradnl"/>
        </w:rPr>
        <w:t xml:space="preserve">La firma de este protocolo se inscribe en la estrategia municipal ‘Jerez </w:t>
      </w:r>
      <w:proofErr w:type="spellStart"/>
      <w:r>
        <w:rPr>
          <w:rFonts w:ascii="Arial Narrow" w:eastAsia="Arial" w:hAnsi="Arial Narrow" w:cs="Arial Narrow"/>
          <w:bCs/>
          <w:sz w:val="26"/>
          <w:szCs w:val="26"/>
          <w:lang w:eastAsia="es-ES_tradnl"/>
        </w:rPr>
        <w:t>Connected</w:t>
      </w:r>
      <w:proofErr w:type="spellEnd"/>
      <w:r>
        <w:rPr>
          <w:rFonts w:ascii="Arial Narrow" w:eastAsia="Arial" w:hAnsi="Arial Narrow" w:cs="Arial Narrow"/>
          <w:bCs/>
          <w:sz w:val="26"/>
          <w:szCs w:val="26"/>
          <w:lang w:eastAsia="es-ES_tradnl"/>
        </w:rPr>
        <w:t xml:space="preserve">’ </w:t>
      </w:r>
      <w:r>
        <w:rPr>
          <w:rFonts w:ascii="Arial Narrow" w:hAnsi="Arial Narrow" w:cs="Arial Narrow"/>
          <w:sz w:val="26"/>
          <w:szCs w:val="26"/>
        </w:rPr>
        <w:t xml:space="preserve">que tiene como misión facilitar el desarrollo tecnológico y la transformación digital de Jerez mediante la alineación y potenciación de las estrategias, el talento, las tecnologías, las infraestructuras y las inversiones de los actores públicos y privados en el territorio. Una estrategia que promueve un doble objetivo de lograr una ciudadanía digital y una economía también digital para lo cual ya se han dado varios pasos como la creación del Clúster </w:t>
      </w:r>
      <w:proofErr w:type="spellStart"/>
      <w:r>
        <w:rPr>
          <w:rFonts w:ascii="Arial Narrow" w:hAnsi="Arial Narrow" w:cs="Arial Narrow"/>
          <w:sz w:val="26"/>
          <w:szCs w:val="26"/>
        </w:rPr>
        <w:t>Nexur</w:t>
      </w:r>
      <w:proofErr w:type="spellEnd"/>
      <w:r>
        <w:rPr>
          <w:rFonts w:ascii="Arial Narrow" w:hAnsi="Arial Narrow" w:cs="Arial Narrow"/>
          <w:sz w:val="26"/>
          <w:szCs w:val="26"/>
        </w:rPr>
        <w:t xml:space="preserve"> o la participación de la mano de la Cámara de Comercio en el Coworking Digital ubicado en la calle Sevilla.</w:t>
      </w:r>
    </w:p>
    <w:p w14:paraId="67E56EBF" w14:textId="77777777" w:rsidR="00186EB3" w:rsidRDefault="00186EB3" w:rsidP="00186EB3">
      <w:pPr>
        <w:tabs>
          <w:tab w:val="left" w:pos="3045"/>
        </w:tabs>
        <w:jc w:val="both"/>
        <w:rPr>
          <w:rFonts w:ascii="Arial Narrow" w:eastAsia="Arial" w:hAnsi="Arial Narrow" w:cs="Arial Narrow"/>
          <w:bCs/>
          <w:sz w:val="28"/>
          <w:szCs w:val="26"/>
          <w:lang w:eastAsia="es-ES_tradnl"/>
        </w:rPr>
      </w:pPr>
    </w:p>
    <w:p w14:paraId="67D68028" w14:textId="77777777" w:rsidR="00186EB3" w:rsidRDefault="00186EB3" w:rsidP="00186EB3">
      <w:pPr>
        <w:tabs>
          <w:tab w:val="left" w:pos="3045"/>
        </w:tabs>
        <w:jc w:val="both"/>
        <w:rPr>
          <w:rFonts w:ascii="Arial Narrow" w:eastAsia="Arial" w:hAnsi="Arial Narrow" w:cs="Arial Narrow"/>
          <w:bCs/>
          <w:sz w:val="28"/>
          <w:szCs w:val="26"/>
          <w:lang w:eastAsia="es-ES_tradnl"/>
        </w:rPr>
      </w:pPr>
      <w:r>
        <w:rPr>
          <w:rFonts w:ascii="Arial Narrow" w:eastAsia="Arial" w:hAnsi="Arial Narrow" w:cs="Arial Narrow"/>
          <w:bCs/>
          <w:sz w:val="28"/>
          <w:szCs w:val="26"/>
          <w:lang w:eastAsia="es-ES_tradnl"/>
        </w:rPr>
        <w:t>Se adjunta enlace de audio y fotografía</w:t>
      </w:r>
    </w:p>
    <w:p w14:paraId="2AFF7884" w14:textId="77777777" w:rsidR="00186EB3" w:rsidRDefault="00186EB3" w:rsidP="00186EB3">
      <w:pPr>
        <w:tabs>
          <w:tab w:val="left" w:pos="3045"/>
        </w:tabs>
        <w:jc w:val="both"/>
        <w:rPr>
          <w:rFonts w:ascii="Arial Narrow" w:eastAsia="Arial" w:hAnsi="Arial Narrow" w:cs="Arial Narrow"/>
          <w:bCs/>
          <w:sz w:val="28"/>
          <w:szCs w:val="26"/>
          <w:lang w:eastAsia="es-ES_tradnl"/>
        </w:rPr>
      </w:pPr>
      <w:hyperlink r:id="rId7" w:tgtFrame="_blank">
        <w:r>
          <w:rPr>
            <w:rStyle w:val="Hipervnculo1"/>
            <w:rFonts w:ascii="Arial Narrow" w:eastAsia="Arial" w:hAnsi="Arial Narrow" w:cs="Arial Narrow"/>
            <w:bCs/>
            <w:sz w:val="28"/>
            <w:szCs w:val="26"/>
            <w:lang w:eastAsia="es-ES_tradnl"/>
          </w:rPr>
          <w:t>https://soundcloud.com/user-162770691/sanz-aac/s-tnzJ3s9UTzn</w:t>
        </w:r>
      </w:hyperlink>
    </w:p>
    <w:p w14:paraId="25BF2EB4" w14:textId="77777777" w:rsidR="00186EB3" w:rsidRDefault="00186EB3" w:rsidP="00186EB3">
      <w:pPr>
        <w:tabs>
          <w:tab w:val="left" w:pos="3045"/>
        </w:tabs>
        <w:jc w:val="both"/>
        <w:rPr>
          <w:rFonts w:ascii="Arial Narrow" w:eastAsia="Arial" w:hAnsi="Arial Narrow" w:cs="Arial Narrow"/>
          <w:bCs/>
          <w:sz w:val="28"/>
          <w:szCs w:val="26"/>
          <w:lang w:eastAsia="es-ES_tradnl"/>
        </w:rPr>
      </w:pPr>
    </w:p>
    <w:p w14:paraId="326F858F" w14:textId="77777777" w:rsidR="00186EB3" w:rsidRDefault="00186EB3" w:rsidP="00186EB3">
      <w:pPr>
        <w:tabs>
          <w:tab w:val="left" w:pos="3045"/>
        </w:tabs>
        <w:jc w:val="both"/>
        <w:rPr>
          <w:rFonts w:ascii="Arial Narrow" w:eastAsia="Arial" w:hAnsi="Arial Narrow" w:cs="Arial Narrow"/>
          <w:bCs/>
          <w:sz w:val="26"/>
          <w:szCs w:val="26"/>
          <w:lang w:eastAsia="es-ES_tradnl"/>
        </w:rPr>
      </w:pPr>
    </w:p>
    <w:p w14:paraId="7D027AC3" w14:textId="77777777" w:rsidR="006A44A0" w:rsidRPr="00186EB3" w:rsidRDefault="006A44A0" w:rsidP="00186EB3">
      <w:bookmarkStart w:id="0" w:name="_GoBack"/>
      <w:bookmarkEnd w:id="0"/>
    </w:p>
    <w:sectPr w:rsidR="006A44A0" w:rsidRPr="00186EB3">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86EB3"/>
    <w:rsid w:val="00265151"/>
    <w:rsid w:val="002929AE"/>
    <w:rsid w:val="003304EA"/>
    <w:rsid w:val="004870C1"/>
    <w:rsid w:val="004A6CD3"/>
    <w:rsid w:val="004B5D6B"/>
    <w:rsid w:val="005B540A"/>
    <w:rsid w:val="00637EB7"/>
    <w:rsid w:val="006631BE"/>
    <w:rsid w:val="006A44A0"/>
    <w:rsid w:val="007025C7"/>
    <w:rsid w:val="0070790E"/>
    <w:rsid w:val="0081073A"/>
    <w:rsid w:val="00956F5A"/>
    <w:rsid w:val="00AF0F99"/>
    <w:rsid w:val="00BE0499"/>
    <w:rsid w:val="00CD022A"/>
    <w:rsid w:val="00D30C65"/>
    <w:rsid w:val="00D471BB"/>
    <w:rsid w:val="00EB084D"/>
    <w:rsid w:val="00F3762A"/>
    <w:rsid w:val="00F4344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Hipervnculo1">
    <w:name w:val="Hipervínculo1"/>
    <w:rsid w:val="00186E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sanz-aac/s-tnzJ3s9UTz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2024-10-11T11:55:00Z</dcterms:created>
  <dcterms:modified xsi:type="dcterms:W3CDTF">2024-10-11T11:55:00Z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