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color w:val="000000"/>
        </w:rPr>
      </w:pPr>
      <w:r>
        <w:rPr>
          <w:rFonts w:eastAsia="Tahoma" w:ascii="Arial Narrow" w:hAnsi="Arial Narrow"/>
          <w:b/>
          <w:color w:val="000000"/>
          <w:sz w:val="40"/>
          <w:szCs w:val="26"/>
        </w:rPr>
        <w:t>Los servicios sociales tra</w:t>
      </w:r>
      <w:r>
        <w:rPr>
          <w:rFonts w:eastAsia="Tahoma" w:ascii="Arial Narrow" w:hAnsi="Arial Narrow"/>
          <w:b/>
          <w:color w:val="000000"/>
          <w:sz w:val="40"/>
          <w:szCs w:val="40"/>
        </w:rPr>
        <w:t>mita</w:t>
      </w:r>
      <w:r>
        <w:rPr>
          <w:rFonts w:eastAsia="Tahoma" w:ascii="Arial Narrow" w:hAnsi="Arial Narrow"/>
          <w:b/>
          <w:color w:val="000000"/>
          <w:sz w:val="40"/>
          <w:szCs w:val="40"/>
        </w:rPr>
        <w:t>ro</w:t>
      </w:r>
      <w:r>
        <w:rPr>
          <w:rFonts w:eastAsia="Tahoma" w:ascii="Arial Narrow" w:hAnsi="Arial Narrow"/>
          <w:b/>
          <w:color w:val="000000"/>
          <w:sz w:val="40"/>
          <w:szCs w:val="40"/>
        </w:rPr>
        <w:t xml:space="preserve">n </w:t>
      </w:r>
      <w:r>
        <w:rPr>
          <w:rFonts w:eastAsia="Times New Roman" w:cs="Calibri" w:ascii="Arial Narrow" w:hAnsi="Arial Narrow" w:cstheme="minorHAnsi"/>
          <w:b/>
          <w:bCs/>
          <w:color w:val="000000"/>
          <w:sz w:val="40"/>
          <w:szCs w:val="40"/>
          <w:lang w:eastAsia="es-ES"/>
        </w:rPr>
        <w:t xml:space="preserve">32.494 ayudas por un importe de </w:t>
      </w:r>
      <w:r>
        <w:rPr>
          <w:rFonts w:eastAsia="Times New Roman" w:cs="Calibri" w:ascii="Arial Narrow" w:hAnsi="Arial Narrow" w:cstheme="minorHAnsi"/>
          <w:b/>
          <w:bCs/>
          <w:color w:val="000000"/>
          <w:sz w:val="40"/>
          <w:szCs w:val="40"/>
          <w:lang w:eastAsia="es-ES"/>
        </w:rPr>
        <w:t xml:space="preserve">casi </w:t>
      </w:r>
      <w:r>
        <w:rPr>
          <w:rFonts w:eastAsia="Times New Roman" w:cs="Calibri" w:ascii="Arial Narrow" w:hAnsi="Arial Narrow" w:cstheme="minorHAnsi"/>
          <w:b/>
          <w:bCs/>
          <w:color w:val="000000"/>
          <w:sz w:val="40"/>
          <w:szCs w:val="40"/>
          <w:lang w:eastAsia="es-ES"/>
        </w:rPr>
        <w:t>4.</w:t>
      </w:r>
      <w:r>
        <w:rPr>
          <w:rFonts w:eastAsia="Times New Roman" w:cs="Calibri" w:ascii="Arial Narrow" w:hAnsi="Arial Narrow" w:cstheme="minorHAnsi"/>
          <w:b/>
          <w:bCs/>
          <w:color w:val="000000"/>
          <w:sz w:val="40"/>
          <w:szCs w:val="40"/>
          <w:lang w:eastAsia="es-ES"/>
        </w:rPr>
        <w:t>500</w:t>
      </w:r>
      <w:r>
        <w:rPr>
          <w:rFonts w:eastAsia="Times New Roman" w:cs="Calibri" w:ascii="Arial Narrow" w:hAnsi="Arial Narrow" w:cstheme="minorHAnsi"/>
          <w:b/>
          <w:bCs/>
          <w:color w:val="000000"/>
          <w:sz w:val="40"/>
          <w:szCs w:val="40"/>
          <w:lang w:eastAsia="es-ES"/>
        </w:rPr>
        <w:t>.</w:t>
      </w:r>
      <w:r>
        <w:rPr>
          <w:rFonts w:eastAsia="Times New Roman" w:cs="Calibri" w:ascii="Arial Narrow" w:hAnsi="Arial Narrow" w:cstheme="minorHAnsi"/>
          <w:b/>
          <w:bCs/>
          <w:color w:val="000000"/>
          <w:sz w:val="40"/>
          <w:szCs w:val="40"/>
          <w:lang w:eastAsia="es-ES"/>
        </w:rPr>
        <w:t>000</w:t>
      </w:r>
      <w:r>
        <w:rPr>
          <w:rFonts w:eastAsia="Times New Roman" w:cs="Calibri" w:ascii="Arial Narrow" w:hAnsi="Arial Narrow" w:cstheme="minorHAnsi"/>
          <w:b/>
          <w:bCs/>
          <w:color w:val="000000"/>
          <w:sz w:val="40"/>
          <w:szCs w:val="40"/>
          <w:lang w:eastAsia="es-ES"/>
        </w:rPr>
        <w:t xml:space="preserve"> euros en 2024</w:t>
      </w:r>
    </w:p>
    <w:p>
      <w:pPr>
        <w:pStyle w:val="Normal"/>
        <w:rPr>
          <w:color w:val="000000"/>
        </w:rPr>
      </w:pPr>
      <w:r>
        <w:rPr>
          <w:color w:val="000000"/>
        </w:rPr>
      </w:r>
    </w:p>
    <w:p>
      <w:pPr>
        <w:pStyle w:val="Normal"/>
        <w:rPr>
          <w:sz w:val="36"/>
          <w:szCs w:val="36"/>
        </w:rPr>
      </w:pPr>
      <w:r>
        <w:rPr>
          <w:rFonts w:eastAsia="Tahoma" w:ascii="Arial Narrow" w:hAnsi="Arial Narrow"/>
          <w:color w:val="000000"/>
          <w:sz w:val="36"/>
          <w:szCs w:val="36"/>
        </w:rPr>
        <w:t xml:space="preserve">Inclusión Social ha avanzado en innovación digital y ha apostado por la eficiencia y la simplificación administrativa  </w:t>
      </w:r>
    </w:p>
    <w:p>
      <w:pPr>
        <w:pStyle w:val="Normal"/>
        <w:jc w:val="both"/>
        <w:rPr>
          <w:rFonts w:ascii="Arial Narrow" w:hAnsi="Arial Narrow" w:eastAsia="Tahoma"/>
          <w:b/>
          <w:b/>
          <w:color w:val="000000"/>
          <w:sz w:val="12"/>
          <w:szCs w:val="26"/>
        </w:rPr>
      </w:pPr>
      <w:r>
        <w:rPr>
          <w:rFonts w:eastAsia="Tahoma" w:ascii="Arial Narrow" w:hAnsi="Arial Narrow"/>
          <w:b/>
          <w:color w:val="000000"/>
          <w:sz w:val="12"/>
          <w:szCs w:val="26"/>
        </w:rPr>
      </w:r>
    </w:p>
    <w:p>
      <w:pPr>
        <w:pStyle w:val="Normal"/>
        <w:jc w:val="both"/>
        <w:rPr>
          <w:rFonts w:ascii="Arial Narrow" w:hAnsi="Arial Narrow" w:eastAsia="Tahoma"/>
          <w:color w:val="000000"/>
          <w:sz w:val="26"/>
          <w:szCs w:val="26"/>
        </w:rPr>
      </w:pPr>
      <w:r>
        <w:rPr>
          <w:rFonts w:eastAsia="Tahoma" w:ascii="Arial Narrow" w:hAnsi="Arial Narrow"/>
          <w:color w:val="000000"/>
          <w:sz w:val="26"/>
          <w:szCs w:val="26"/>
        </w:rPr>
      </w:r>
    </w:p>
    <w:p>
      <w:pPr>
        <w:pStyle w:val="Normal"/>
        <w:jc w:val="both"/>
        <w:rPr>
          <w:rFonts w:ascii="Arial Narrow" w:hAnsi="Arial Narrow"/>
          <w:sz w:val="26"/>
          <w:szCs w:val="26"/>
        </w:rPr>
      </w:pPr>
      <w:r>
        <w:rPr>
          <w:rFonts w:ascii="Arial Narrow" w:hAnsi="Arial Narrow"/>
          <w:b/>
          <w:color w:val="000000"/>
          <w:sz w:val="26"/>
          <w:szCs w:val="26"/>
        </w:rPr>
        <w:t>1</w:t>
      </w:r>
      <w:r>
        <w:rPr>
          <w:rFonts w:ascii="Arial Narrow" w:hAnsi="Arial Narrow"/>
          <w:b/>
          <w:color w:val="000000"/>
          <w:sz w:val="26"/>
          <w:szCs w:val="26"/>
        </w:rPr>
        <w:t>8</w:t>
      </w:r>
      <w:r>
        <w:rPr>
          <w:rFonts w:ascii="Arial Narrow" w:hAnsi="Arial Narrow"/>
          <w:b/>
          <w:color w:val="000000"/>
          <w:sz w:val="26"/>
          <w:szCs w:val="26"/>
        </w:rPr>
        <w:t xml:space="preserve"> de enero de 2025.</w:t>
      </w:r>
      <w:r>
        <w:rPr>
          <w:rFonts w:ascii="Arial Narrow" w:hAnsi="Arial Narrow"/>
          <w:color w:val="000000"/>
          <w:sz w:val="26"/>
          <w:szCs w:val="26"/>
        </w:rPr>
        <w:t xml:space="preserve"> La Delegación de Inclusión Social ha culminado el año 2024 consolidando unas bases firmes en un objetivo prioritario como es la eficiencia en la atención, y poniendo en marcha programas tan importantes como las iniciativas enmarcadas en el </w:t>
      </w:r>
      <w:r>
        <w:rPr>
          <w:rFonts w:ascii="Arial Narrow" w:hAnsi="Arial Narrow"/>
          <w:b w:val="false"/>
          <w:bCs w:val="false"/>
          <w:color w:val="000000"/>
          <w:sz w:val="26"/>
          <w:szCs w:val="26"/>
        </w:rPr>
        <w:t>Programa Corresponsables</w:t>
      </w:r>
      <w:r>
        <w:rPr>
          <w:rFonts w:ascii="Arial Narrow" w:hAnsi="Arial Narrow"/>
          <w:color w:val="000000"/>
          <w:sz w:val="26"/>
          <w:szCs w:val="26"/>
        </w:rPr>
        <w:t xml:space="preserve">, y la </w:t>
      </w:r>
      <w:r>
        <w:rPr>
          <w:rFonts w:ascii="Arial Narrow" w:hAnsi="Arial Narrow"/>
          <w:b w:val="false"/>
          <w:bCs w:val="false"/>
          <w:color w:val="000000"/>
          <w:sz w:val="26"/>
          <w:szCs w:val="26"/>
        </w:rPr>
        <w:t>ERACIS+</w:t>
      </w:r>
      <w:r>
        <w:rPr>
          <w:rFonts w:ascii="Arial Narrow" w:hAnsi="Arial Narrow"/>
          <w:color w:val="000000"/>
          <w:sz w:val="26"/>
          <w:szCs w:val="26"/>
        </w:rPr>
        <w:t xml:space="preserve">, gracias a las subvenciones concedidas por la Junta de Andalucía. </w:t>
      </w:r>
      <w:r>
        <w:rPr>
          <w:rFonts w:eastAsia="Times New Roman" w:cs="Calibri" w:ascii="Arial Narrow" w:hAnsi="Arial Narrow" w:cstheme="minorHAnsi"/>
          <w:color w:val="000000"/>
          <w:sz w:val="26"/>
          <w:szCs w:val="26"/>
          <w:lang w:eastAsia="es-ES"/>
        </w:rPr>
        <w:t>En  este ejercicio, los servicios sociales han avanzado en innovación digital y han reforzado su personal gracias a los</w:t>
      </w:r>
      <w:r>
        <w:rPr>
          <w:rFonts w:eastAsia="Times New Roman" w:cs="Calibri" w:ascii="Arial Narrow" w:hAnsi="Arial Narrow" w:cstheme="minorHAnsi"/>
          <w:color w:val="000000"/>
          <w:sz w:val="26"/>
          <w:szCs w:val="26"/>
          <w:u w:val="none"/>
          <w:lang w:eastAsia="es-ES"/>
        </w:rPr>
        <w:t xml:space="preserve"> </w:t>
      </w:r>
      <w:r>
        <w:rPr>
          <w:rFonts w:eastAsia="Times New Roman" w:cs="Calibri" w:ascii="Arial Narrow" w:hAnsi="Arial Narrow" w:cstheme="minorHAnsi"/>
          <w:b w:val="false"/>
          <w:bCs w:val="false"/>
          <w:color w:val="000000"/>
          <w:sz w:val="26"/>
          <w:szCs w:val="26"/>
          <w:lang w:eastAsia="es-ES"/>
        </w:rPr>
        <w:t>Fondos Europeos Next Generation</w:t>
      </w:r>
      <w:r>
        <w:rPr>
          <w:rFonts w:eastAsia="Times New Roman" w:cs="Calibri" w:ascii="Arial Narrow" w:hAnsi="Arial Narrow" w:cstheme="minorHAnsi"/>
          <w:color w:val="000000"/>
          <w:sz w:val="26"/>
          <w:szCs w:val="26"/>
          <w:lang w:eastAsia="es-ES"/>
        </w:rPr>
        <w:t>, por un importe global de 394.000 euros, con una repercusión importante en la reducción de las listas de espera.</w:t>
      </w:r>
    </w:p>
    <w:p>
      <w:pPr>
        <w:pStyle w:val="Normal"/>
        <w:jc w:val="both"/>
        <w:rPr>
          <w:rFonts w:ascii="Arial Narrow" w:hAnsi="Arial Narrow" w:eastAsia="Times New Roman" w:cs="Calibri" w:cstheme="minorHAnsi"/>
          <w:color w:val="000000"/>
          <w:sz w:val="26"/>
          <w:szCs w:val="26"/>
          <w:lang w:eastAsia="es-ES"/>
        </w:rPr>
      </w:pPr>
      <w:r>
        <w:rPr>
          <w:rFonts w:eastAsia="Times New Roman" w:cs="Calibri" w:cstheme="minorHAnsi" w:ascii="Arial Narrow" w:hAnsi="Arial Narrow"/>
          <w:color w:val="000000"/>
          <w:sz w:val="26"/>
          <w:szCs w:val="26"/>
          <w:lang w:eastAsia="es-ES"/>
        </w:rPr>
      </w:r>
    </w:p>
    <w:p>
      <w:pPr>
        <w:pStyle w:val="Normal"/>
        <w:jc w:val="both"/>
        <w:rPr>
          <w:rFonts w:ascii="Arial Narrow" w:hAnsi="Arial Narrow"/>
          <w:sz w:val="26"/>
          <w:szCs w:val="26"/>
        </w:rPr>
      </w:pPr>
      <w:r>
        <w:rPr>
          <w:rFonts w:cs="Calibri" w:ascii="Arial Narrow" w:hAnsi="Arial Narrow" w:cstheme="minorHAnsi"/>
          <w:color w:val="000000"/>
          <w:sz w:val="26"/>
          <w:szCs w:val="26"/>
        </w:rPr>
        <w:t xml:space="preserve">Los </w:t>
      </w:r>
      <w:r>
        <w:rPr>
          <w:rFonts w:cs="Calibri" w:ascii="Arial Narrow" w:hAnsi="Arial Narrow" w:cstheme="minorHAnsi"/>
          <w:color w:val="000000"/>
          <w:sz w:val="26"/>
          <w:szCs w:val="26"/>
          <w:u w:val="none"/>
        </w:rPr>
        <w:t>servicios sociales municipales</w:t>
      </w:r>
      <w:r>
        <w:rPr>
          <w:rFonts w:cs="Calibri" w:ascii="Arial Narrow" w:hAnsi="Arial Narrow" w:cstheme="minorHAnsi"/>
          <w:color w:val="000000"/>
          <w:sz w:val="26"/>
          <w:szCs w:val="26"/>
        </w:rPr>
        <w:t xml:space="preserve"> han tramitado en el año 2024 un total de </w:t>
      </w:r>
      <w:r>
        <w:rPr>
          <w:rFonts w:eastAsia="Times New Roman" w:cs="Calibri" w:ascii="Arial Narrow" w:hAnsi="Arial Narrow" w:cstheme="minorHAnsi"/>
          <w:b w:val="false"/>
          <w:bCs w:val="false"/>
          <w:color w:val="000000"/>
          <w:sz w:val="26"/>
          <w:szCs w:val="26"/>
          <w:lang w:eastAsia="es-ES"/>
        </w:rPr>
        <w:t>32.494 ayudas sociales</w:t>
      </w:r>
      <w:r>
        <w:rPr>
          <w:rFonts w:eastAsia="Times New Roman" w:cs="Calibri" w:ascii="Arial Narrow" w:hAnsi="Arial Narrow" w:cstheme="minorHAnsi"/>
          <w:color w:val="000000"/>
          <w:sz w:val="26"/>
          <w:szCs w:val="26"/>
          <w:lang w:eastAsia="es-ES"/>
        </w:rPr>
        <w:t xml:space="preserve">, por un importe de </w:t>
      </w:r>
      <w:r>
        <w:rPr>
          <w:rFonts w:eastAsia="Times New Roman" w:cs="Calibri" w:ascii="Arial Narrow" w:hAnsi="Arial Narrow" w:cstheme="minorHAnsi"/>
          <w:b w:val="false"/>
          <w:bCs w:val="false"/>
          <w:color w:val="000000"/>
          <w:sz w:val="26"/>
          <w:szCs w:val="26"/>
          <w:lang w:eastAsia="es-ES"/>
        </w:rPr>
        <w:t>4.499.919,62 euros</w:t>
      </w:r>
      <w:r>
        <w:rPr>
          <w:rFonts w:eastAsia="Times New Roman" w:cs="Calibri" w:ascii="Arial Narrow" w:hAnsi="Arial Narrow" w:cstheme="minorHAnsi"/>
          <w:color w:val="000000"/>
          <w:sz w:val="26"/>
          <w:szCs w:val="26"/>
          <w:lang w:eastAsia="es-ES"/>
        </w:rPr>
        <w:t xml:space="preserve">. Las intervenciones en los diferentes programas (tratamiento familiar, intervención zona, mayores, inmigración, Albergue, dependencia ...) han sido 62.024. </w:t>
      </w:r>
      <w:r>
        <w:rPr>
          <w:rFonts w:eastAsia="Times New Roman" w:cs="Calibri" w:ascii="Arial Narrow" w:hAnsi="Arial Narrow"/>
          <w:color w:val="000000"/>
          <w:sz w:val="26"/>
          <w:szCs w:val="26"/>
          <w:lang w:val="es-ES" w:eastAsia="es-ES"/>
        </w:rPr>
        <w:t xml:space="preserve">Una de las innovaciones de este periodo ha sido la puesta en marcha de un equipo de triaje compuesto por siete trabajadoras sociales en el marco de los Fondos Next Generation, que ha permitido reducir la lista de espera, pasando de las 2.153 demandas en espera de hace un año a 310 a final de diciembre. </w:t>
      </w:r>
    </w:p>
    <w:p>
      <w:pPr>
        <w:pStyle w:val="Normal"/>
        <w:jc w:val="both"/>
        <w:rPr>
          <w:rFonts w:ascii="Arial Narrow" w:hAnsi="Arial Narrow"/>
          <w:sz w:val="26"/>
          <w:szCs w:val="26"/>
        </w:rPr>
      </w:pPr>
      <w:r>
        <w:rPr>
          <w:rFonts w:ascii="Arial Narrow" w:hAnsi="Arial Narrow"/>
          <w:sz w:val="26"/>
          <w:szCs w:val="26"/>
        </w:rPr>
      </w:r>
    </w:p>
    <w:p>
      <w:pPr>
        <w:pStyle w:val="Normal"/>
        <w:widowControl/>
        <w:suppressAutoHyphens w:val="true"/>
        <w:bidi w:val="0"/>
        <w:spacing w:before="0" w:after="0"/>
        <w:ind w:left="0" w:right="0" w:hanging="0"/>
        <w:jc w:val="both"/>
        <w:rPr>
          <w:rFonts w:ascii="Arial Narrow" w:hAnsi="Arial Narrow"/>
          <w:sz w:val="26"/>
          <w:szCs w:val="26"/>
        </w:rPr>
      </w:pPr>
      <w:r>
        <w:rPr>
          <w:rFonts w:eastAsia="Times New Roman" w:cs="Calibri" w:ascii="Arial Narrow" w:hAnsi="Arial Narrow" w:cstheme="minorHAnsi"/>
          <w:color w:val="000000"/>
          <w:sz w:val="26"/>
          <w:szCs w:val="26"/>
          <w:lang w:eastAsia="es-ES"/>
        </w:rPr>
        <w:t xml:space="preserve">El año 2024 ha sido clave en una línea de trabajo fundamental de optimización del servicio para atender a las personas usuarias de la forma más eficiente, con una nueva propuesta de documento marco para la regulación de las ayudas sociales que va a incidir en la simplificación administrativa. Igualmente, se está apostando por la integración del Cliente Ligero en la Gestión de Usuarios de los Servicios Sociales (GUSS). </w:t>
      </w:r>
      <w:r>
        <w:rPr>
          <w:rFonts w:eastAsia="Times New Roman" w:cs="Calibri" w:ascii="Arial Narrow" w:hAnsi="Arial Narrow" w:cstheme="minorHAnsi"/>
          <w:color w:val="000000"/>
          <w:sz w:val="26"/>
          <w:szCs w:val="26"/>
          <w:lang w:eastAsia="es-ES"/>
        </w:rPr>
        <w:t xml:space="preserve">Cabe destacar además, que </w:t>
      </w:r>
      <w:r>
        <w:rPr>
          <w:rFonts w:eastAsia="Times New Roman" w:cs="Calibri" w:ascii="Arial Narrow" w:hAnsi="Arial Narrow" w:cstheme="minorHAnsi"/>
          <w:b w:val="false"/>
          <w:bCs w:val="false"/>
          <w:color w:val="000000"/>
          <w:sz w:val="26"/>
          <w:szCs w:val="26"/>
          <w:lang w:eastAsia="es-ES"/>
        </w:rPr>
        <w:t>Jerez es una ciudad pionera en Andalucía en implementar la Escala VESSA</w:t>
      </w:r>
      <w:r>
        <w:rPr>
          <w:rFonts w:eastAsia="Times New Roman" w:cs="Calibri" w:ascii="Arial Narrow" w:hAnsi="Arial Narrow" w:cstheme="minorHAnsi"/>
          <w:color w:val="000000"/>
          <w:sz w:val="26"/>
          <w:szCs w:val="26"/>
          <w:lang w:eastAsia="es-ES"/>
        </w:rPr>
        <w:t xml:space="preserve"> (Valoración de la Exclusión Social de Andalucía) con la Dirección General de Barriadas de Actuación Preferente.</w:t>
      </w:r>
    </w:p>
    <w:p>
      <w:pPr>
        <w:pStyle w:val="Normal"/>
        <w:widowControl/>
        <w:suppressAutoHyphens w:val="true"/>
        <w:bidi w:val="0"/>
        <w:spacing w:before="0" w:after="0"/>
        <w:ind w:left="0" w:right="0" w:hanging="0"/>
        <w:jc w:val="both"/>
        <w:rPr>
          <w:rFonts w:ascii="Arial Narrow" w:hAnsi="Arial Narrow"/>
          <w:sz w:val="26"/>
          <w:szCs w:val="26"/>
        </w:rPr>
      </w:pPr>
      <w:r>
        <w:rPr/>
      </w:r>
    </w:p>
    <w:p>
      <w:pPr>
        <w:pStyle w:val="Normal"/>
        <w:widowControl/>
        <w:suppressAutoHyphens w:val="true"/>
        <w:bidi w:val="0"/>
        <w:spacing w:before="0" w:after="0"/>
        <w:ind w:left="0" w:right="0" w:hanging="0"/>
        <w:jc w:val="both"/>
        <w:rPr>
          <w:b/>
          <w:b/>
          <w:bCs/>
        </w:rPr>
      </w:pPr>
      <w:r>
        <w:rPr>
          <w:rFonts w:eastAsia="Times New Roman" w:cs="Calibri" w:ascii="Arial Narrow" w:hAnsi="Arial Narrow" w:cstheme="minorHAnsi"/>
          <w:b/>
          <w:bCs/>
          <w:color w:val="000000"/>
          <w:sz w:val="26"/>
          <w:szCs w:val="26"/>
          <w:lang w:eastAsia="es-ES"/>
        </w:rPr>
        <w:t>Dependencia</w:t>
      </w:r>
    </w:p>
    <w:p>
      <w:pPr>
        <w:pStyle w:val="Normal"/>
        <w:widowControl/>
        <w:suppressAutoHyphens w:val="true"/>
        <w:bidi w:val="0"/>
        <w:spacing w:before="0" w:after="0"/>
        <w:ind w:left="0" w:right="0" w:hanging="0"/>
        <w:jc w:val="both"/>
        <w:rPr>
          <w:rFonts w:ascii="Arial Narrow" w:hAnsi="Arial Narrow"/>
          <w:sz w:val="26"/>
          <w:szCs w:val="26"/>
        </w:rPr>
      </w:pPr>
      <w:r>
        <w:rPr>
          <w:rFonts w:ascii="Arial Narrow" w:hAnsi="Arial Narrow"/>
          <w:sz w:val="26"/>
          <w:szCs w:val="26"/>
        </w:rPr>
      </w:r>
    </w:p>
    <w:p>
      <w:pPr>
        <w:pStyle w:val="Normal"/>
        <w:widowControl/>
        <w:suppressAutoHyphens w:val="true"/>
        <w:bidi w:val="0"/>
        <w:spacing w:before="0" w:after="0"/>
        <w:ind w:left="0" w:right="0" w:hanging="0"/>
        <w:jc w:val="both"/>
        <w:rPr>
          <w:rFonts w:ascii="Arial Narrow" w:hAnsi="Arial Narrow"/>
          <w:sz w:val="26"/>
          <w:szCs w:val="26"/>
        </w:rPr>
      </w:pPr>
      <w:r>
        <w:rPr>
          <w:rFonts w:eastAsia="Times New Roman" w:cs="Calibri" w:ascii="Arial Narrow" w:hAnsi="Arial Narrow" w:cstheme="minorHAnsi"/>
          <w:color w:val="000000"/>
          <w:sz w:val="26"/>
          <w:szCs w:val="26"/>
          <w:lang w:eastAsia="es-ES"/>
        </w:rPr>
        <w:t xml:space="preserve">En el ámbito de la </w:t>
      </w:r>
      <w:r>
        <w:rPr>
          <w:rFonts w:eastAsia="Times New Roman" w:cs="Calibri" w:ascii="Arial Narrow" w:hAnsi="Arial Narrow" w:cstheme="minorHAnsi"/>
          <w:color w:val="000000"/>
          <w:sz w:val="26"/>
          <w:szCs w:val="26"/>
          <w:u w:val="none"/>
          <w:lang w:eastAsia="es-ES"/>
        </w:rPr>
        <w:t>dependencia</w:t>
      </w:r>
      <w:r>
        <w:rPr>
          <w:rFonts w:eastAsia="Times New Roman" w:cs="Calibri" w:ascii="Arial Narrow" w:hAnsi="Arial Narrow" w:cstheme="minorHAnsi"/>
          <w:color w:val="000000"/>
          <w:sz w:val="26"/>
          <w:szCs w:val="26"/>
          <w:lang w:eastAsia="es-ES"/>
        </w:rPr>
        <w:t>, ha existido un compromiso claro por acortar y reducir los plazos con respecto a las competencias municipales. Este esfuerzo se ha visto reflejado en la tramitación inicial del procedimiento (solicitudes y revisiones de grado) cuyo plazo de tramitación ha conseguido reducirse a 10 días. En e</w:t>
      </w:r>
      <w:r>
        <w:rPr>
          <w:rFonts w:eastAsia="Times New Roman" w:cs="Calibri" w:ascii="Arial Narrow" w:hAnsi="Arial Narrow" w:cstheme="minorHAnsi"/>
          <w:color w:val="000000"/>
          <w:sz w:val="26"/>
          <w:szCs w:val="26"/>
          <w:lang w:eastAsia="es-ES"/>
        </w:rPr>
        <w:t>l</w:t>
      </w:r>
      <w:r>
        <w:rPr>
          <w:rFonts w:eastAsia="Times New Roman" w:cs="Calibri" w:ascii="Arial Narrow" w:hAnsi="Arial Narrow" w:cstheme="minorHAnsi"/>
          <w:color w:val="000000"/>
          <w:sz w:val="26"/>
          <w:szCs w:val="26"/>
          <w:lang w:eastAsia="es-ES"/>
        </w:rPr>
        <w:t xml:space="preserve"> año 2024, se tramita</w:t>
      </w:r>
      <w:r>
        <w:rPr>
          <w:rFonts w:eastAsia="Times New Roman" w:cs="Calibri" w:ascii="Arial Narrow" w:hAnsi="Arial Narrow" w:cstheme="minorHAnsi"/>
          <w:color w:val="000000"/>
          <w:sz w:val="26"/>
          <w:szCs w:val="26"/>
          <w:lang w:eastAsia="es-ES"/>
        </w:rPr>
        <w:t>ron</w:t>
      </w:r>
      <w:r>
        <w:rPr>
          <w:rFonts w:eastAsia="Times New Roman" w:cs="Calibri" w:ascii="Arial Narrow" w:hAnsi="Arial Narrow" w:cstheme="minorHAnsi"/>
          <w:color w:val="000000"/>
          <w:sz w:val="26"/>
          <w:szCs w:val="26"/>
          <w:lang w:eastAsia="es-ES"/>
        </w:rPr>
        <w:t xml:space="preserve"> 4.307 atenciones de información sobre dependencia, 1.426 solicitudes de reconocimiento de dependencia, 822 solicitudes de revisión de grado, 543 solicitudes de revisión de Programa Individual de Atención (PIA), 798 propuestas de PIA, y 486 revisiones de PIA.</w:t>
      </w:r>
    </w:p>
    <w:p>
      <w:pPr>
        <w:pStyle w:val="Normal"/>
        <w:numPr>
          <w:ilvl w:val="0"/>
          <w:numId w:val="0"/>
        </w:numPr>
        <w:spacing w:lineRule="auto" w:line="240" w:before="0" w:after="0"/>
        <w:ind w:left="720" w:hanging="0"/>
        <w:jc w:val="both"/>
        <w:rPr>
          <w:rFonts w:ascii="Arial Narrow" w:hAnsi="Arial Narrow" w:cs="Calibri" w:cstheme="minorHAnsi"/>
          <w:color w:val="000000"/>
          <w:sz w:val="26"/>
          <w:szCs w:val="26"/>
        </w:rPr>
      </w:pPr>
      <w:r>
        <w:rPr>
          <w:rFonts w:cs="Calibri" w:cstheme="minorHAnsi" w:ascii="Arial Narrow" w:hAnsi="Arial Narrow"/>
          <w:color w:val="000000"/>
          <w:sz w:val="26"/>
          <w:szCs w:val="26"/>
        </w:rPr>
      </w:r>
    </w:p>
    <w:p>
      <w:pPr>
        <w:pStyle w:val="Normal"/>
        <w:jc w:val="both"/>
        <w:rPr>
          <w:rFonts w:ascii="Arial Narrow" w:hAnsi="Arial Narrow"/>
          <w:sz w:val="26"/>
          <w:szCs w:val="26"/>
        </w:rPr>
      </w:pPr>
      <w:r>
        <w:rPr>
          <w:rFonts w:eastAsia="Times New Roman" w:cs="Calibri" w:ascii="Arial Narrow" w:hAnsi="Arial Narrow" w:cstheme="minorHAnsi"/>
          <w:color w:val="000000"/>
          <w:sz w:val="26"/>
          <w:szCs w:val="26"/>
          <w:lang w:eastAsia="es-ES"/>
        </w:rPr>
        <w:t xml:space="preserve">El trabajo de atención directa a las personas en situación de </w:t>
      </w:r>
      <w:r>
        <w:rPr>
          <w:rFonts w:eastAsia="Times New Roman" w:cs="Calibri" w:ascii="Arial Narrow" w:hAnsi="Arial Narrow" w:cstheme="minorHAnsi"/>
          <w:color w:val="000000"/>
          <w:sz w:val="26"/>
          <w:szCs w:val="26"/>
          <w:u w:val="none"/>
          <w:lang w:eastAsia="es-ES"/>
        </w:rPr>
        <w:t>vulnerabilidad</w:t>
      </w:r>
      <w:r>
        <w:rPr>
          <w:rFonts w:eastAsia="Times New Roman" w:cs="Calibri" w:ascii="Arial Narrow" w:hAnsi="Arial Narrow" w:cstheme="minorHAnsi"/>
          <w:color w:val="000000"/>
          <w:sz w:val="26"/>
          <w:szCs w:val="26"/>
          <w:lang w:eastAsia="es-ES"/>
        </w:rPr>
        <w:t xml:space="preserve">, en el que se enmarca el Programa de Alojamiento Alternativo,  o el trabajo que se viene desarrollando con la Red de Integración Social para la puesta en marcha del proyecto de Puerta Única, se suma a las acciones destinadas a avanzar a medio plazo en la promoción personal desde la creación de itinerarios de inserción socio laboral, y la protección de la infancia, mayores y dependientes, como objetivos irrenunciables en la gestión diaria. El objetivo a partir de aquí, por supuesto, </w:t>
      </w:r>
      <w:r>
        <w:rPr>
          <w:rFonts w:eastAsia="Times New Roman" w:cs="Calibri" w:ascii="Arial Narrow" w:hAnsi="Arial Narrow" w:cstheme="minorHAnsi"/>
          <w:color w:val="000000"/>
          <w:sz w:val="26"/>
          <w:szCs w:val="26"/>
          <w:lang w:eastAsia="es-ES"/>
        </w:rPr>
        <w:t>es</w:t>
      </w:r>
      <w:r>
        <w:rPr>
          <w:rFonts w:eastAsia="Times New Roman" w:cs="Calibri" w:ascii="Arial Narrow" w:hAnsi="Arial Narrow" w:cstheme="minorHAnsi"/>
          <w:color w:val="000000"/>
          <w:sz w:val="26"/>
          <w:szCs w:val="26"/>
          <w:lang w:eastAsia="es-ES"/>
        </w:rPr>
        <w:t xml:space="preserve"> seguir rentabilizando cada una de estas  herramientas, generando alianzas a favor de la atención social.</w:t>
      </w:r>
    </w:p>
    <w:p>
      <w:pPr>
        <w:pStyle w:val="Normal"/>
        <w:widowControl/>
        <w:suppressAutoHyphens w:val="true"/>
        <w:bidi w:val="0"/>
        <w:spacing w:before="0" w:after="0"/>
        <w:ind w:left="0" w:right="0" w:hanging="0"/>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color w:val="000000"/>
          <w:sz w:val="26"/>
          <w:szCs w:val="26"/>
        </w:rPr>
        <w:t xml:space="preserve">La firma del convenio del </w:t>
      </w:r>
      <w:r>
        <w:rPr>
          <w:rFonts w:ascii="Arial Narrow" w:hAnsi="Arial Narrow"/>
          <w:b w:val="false"/>
          <w:bCs w:val="false"/>
          <w:color w:val="000000"/>
          <w:sz w:val="26"/>
          <w:szCs w:val="26"/>
        </w:rPr>
        <w:t xml:space="preserve">Servicio de Ayuda a Domicilio </w:t>
      </w:r>
      <w:r>
        <w:rPr>
          <w:rFonts w:ascii="Arial Narrow" w:hAnsi="Arial Narrow"/>
          <w:color w:val="000000"/>
          <w:sz w:val="26"/>
          <w:szCs w:val="26"/>
        </w:rPr>
        <w:t xml:space="preserve">y </w:t>
      </w:r>
      <w:r>
        <w:rPr>
          <w:rFonts w:eastAsia="Times New Roman" w:cs="Calibri" w:ascii="Arial Narrow" w:hAnsi="Arial Narrow" w:cstheme="minorHAnsi"/>
          <w:color w:val="000000"/>
          <w:sz w:val="26"/>
          <w:szCs w:val="26"/>
          <w:lang w:eastAsia="es-ES"/>
        </w:rPr>
        <w:t xml:space="preserve">el refuerzo en más de 361 personas de la plantilla del servicio han sido hitos importantes del pasado ejercicio. El Servicio de Ayuda a Domicilio cuenta con 3.382 personas usuarias dadas de alta y se han prestado </w:t>
      </w:r>
      <w:r>
        <w:rPr>
          <w:rFonts w:eastAsia="Times New Roman" w:cs="Liberation Sans" w:ascii="Arial Narrow" w:hAnsi="Arial Narrow"/>
          <w:color w:val="000000"/>
          <w:sz w:val="26"/>
          <w:szCs w:val="26"/>
          <w:lang w:eastAsia="es-ES"/>
        </w:rPr>
        <w:t xml:space="preserve">1.342.246,15 horas de servicio. La facturación ha sido de </w:t>
      </w:r>
      <w:r>
        <w:rPr>
          <w:rFonts w:eastAsia="Times New Roman" w:cs="Liberation Sans" w:ascii="Arial Narrow" w:hAnsi="Arial Narrow"/>
          <w:b w:val="false"/>
          <w:bCs w:val="false"/>
          <w:color w:val="000000"/>
          <w:sz w:val="26"/>
          <w:szCs w:val="26"/>
          <w:lang w:eastAsia="es-ES"/>
        </w:rPr>
        <w:t xml:space="preserve">24.576.527,01 euros, financiados al 83,77% por la Junta </w:t>
      </w:r>
      <w:r>
        <w:rPr>
          <w:rFonts w:eastAsia="Times New Roman" w:cs="Liberation Sans" w:ascii="Arial Narrow" w:hAnsi="Arial Narrow"/>
          <w:b w:val="false"/>
          <w:bCs w:val="false"/>
          <w:color w:val="000000"/>
          <w:sz w:val="26"/>
          <w:szCs w:val="26"/>
          <w:lang w:eastAsia="es-ES"/>
        </w:rPr>
        <w:t>de Andalucía</w:t>
      </w:r>
      <w:r>
        <w:rPr>
          <w:rFonts w:eastAsia="Times New Roman" w:cs="Liberation Sans" w:ascii="Arial Narrow" w:hAnsi="Arial Narrow"/>
          <w:b w:val="false"/>
          <w:bCs w:val="false"/>
          <w:color w:val="000000"/>
          <w:sz w:val="26"/>
          <w:szCs w:val="26"/>
          <w:lang w:eastAsia="es-ES"/>
        </w:rPr>
        <w:t xml:space="preserve"> y al 16,23% por el Ayuntamiento.</w:t>
      </w:r>
    </w:p>
    <w:p>
      <w:pPr>
        <w:pStyle w:val="Normal"/>
        <w:jc w:val="both"/>
        <w:rPr>
          <w:rFonts w:eastAsia="Times New Roman" w:cs="Calibri" w:cstheme="minorHAnsi"/>
          <w:color w:val="000000"/>
          <w:lang w:eastAsia="es-ES"/>
        </w:rPr>
      </w:pPr>
      <w:r>
        <w:rPr>
          <w:rFonts w:eastAsia="Times New Roman" w:cs="Calibri" w:cstheme="minorHAnsi"/>
          <w:color w:val="000000"/>
          <w:lang w:eastAsia="es-ES"/>
        </w:rPr>
      </w:r>
    </w:p>
    <w:p>
      <w:pPr>
        <w:pStyle w:val="Normal"/>
        <w:jc w:val="both"/>
        <w:rPr/>
      </w:pPr>
      <w:r>
        <w:rPr>
          <w:rFonts w:eastAsia="Times New Roman" w:cs="Calibri" w:ascii="Arial Narrow" w:hAnsi="Arial Narrow" w:cstheme="minorHAnsi"/>
          <w:color w:val="000000"/>
          <w:sz w:val="26"/>
          <w:szCs w:val="26"/>
          <w:lang w:eastAsia="es-ES"/>
        </w:rPr>
        <w:t xml:space="preserve">Igualmente, la firma del </w:t>
      </w:r>
      <w:r>
        <w:rPr>
          <w:rFonts w:eastAsia="Times New Roman" w:cs="Calibri" w:ascii="Arial Narrow" w:hAnsi="Arial Narrow" w:cstheme="minorHAnsi"/>
          <w:b w:val="false"/>
          <w:bCs w:val="false"/>
          <w:color w:val="000000"/>
          <w:sz w:val="26"/>
          <w:szCs w:val="26"/>
          <w:lang w:eastAsia="es-ES"/>
        </w:rPr>
        <w:t>nuevo convenio colectivo de la plantilla de la Fundación Centro de Acogida San José</w:t>
      </w:r>
      <w:r>
        <w:rPr>
          <w:rFonts w:eastAsia="Times New Roman" w:cs="Calibri" w:ascii="Arial Narrow" w:hAnsi="Arial Narrow" w:cstheme="minorHAnsi"/>
          <w:color w:val="000000"/>
          <w:sz w:val="26"/>
          <w:szCs w:val="26"/>
          <w:lang w:eastAsia="es-ES"/>
        </w:rPr>
        <w:t xml:space="preserve"> ha permitido a trabajadores y trabajadoras recuperar beneficios sociales y derechos y cerrar una </w:t>
      </w:r>
      <w:r>
        <w:rPr>
          <w:rStyle w:val="Strong"/>
          <w:rFonts w:eastAsia="Times New Roman" w:cs="Calibri" w:ascii="Arial Narrow" w:hAnsi="Arial Narrow" w:cstheme="minorHAnsi"/>
          <w:b w:val="false"/>
          <w:bCs w:val="false"/>
          <w:color w:val="000000"/>
          <w:sz w:val="26"/>
          <w:szCs w:val="26"/>
          <w:lang w:eastAsia="es-ES"/>
        </w:rPr>
        <w:t>etapa anómala desde marzo de 2023</w:t>
      </w:r>
      <w:r>
        <w:rPr>
          <w:rFonts w:eastAsia="Times New Roman" w:cs="Calibri" w:ascii="Arial Narrow" w:hAnsi="Arial Narrow" w:cstheme="minorHAnsi"/>
          <w:color w:val="000000"/>
          <w:sz w:val="26"/>
          <w:szCs w:val="26"/>
          <w:lang w:eastAsia="es-ES"/>
        </w:rPr>
        <w:t xml:space="preserve"> con la convivencia de dos convenios distintos. </w:t>
      </w:r>
    </w:p>
    <w:p>
      <w:pPr>
        <w:pStyle w:val="Normal"/>
        <w:widowControl/>
        <w:suppressAutoHyphens w:val="true"/>
        <w:bidi w:val="0"/>
        <w:spacing w:before="0" w:after="0"/>
        <w:ind w:left="0" w:right="0" w:hanging="0"/>
        <w:jc w:val="both"/>
        <w:rPr>
          <w:rFonts w:ascii="Arial Narrow" w:hAnsi="Arial Narrow" w:cs="Calibri" w:cstheme="minorHAnsi"/>
          <w:color w:val="000000"/>
          <w:sz w:val="26"/>
          <w:szCs w:val="26"/>
        </w:rPr>
      </w:pPr>
      <w:r>
        <w:rPr>
          <w:rFonts w:cs="Calibri" w:cstheme="minorHAnsi" w:ascii="Arial Narrow" w:hAnsi="Arial Narrow"/>
          <w:color w:val="000000"/>
          <w:sz w:val="26"/>
          <w:szCs w:val="26"/>
        </w:rPr>
      </w:r>
    </w:p>
    <w:p>
      <w:pPr>
        <w:pStyle w:val="Normal"/>
        <w:jc w:val="both"/>
        <w:rPr>
          <w:b/>
          <w:b/>
          <w:bCs/>
        </w:rPr>
      </w:pPr>
      <w:r>
        <w:rPr>
          <w:rFonts w:cs="Calibri" w:ascii="Arial Narrow" w:hAnsi="Arial Narrow" w:cstheme="minorHAnsi"/>
          <w:b/>
          <w:bCs/>
          <w:color w:val="000000"/>
          <w:sz w:val="26"/>
          <w:szCs w:val="26"/>
        </w:rPr>
        <w:t>Otras atenciones de los Servicios Sociales</w:t>
      </w:r>
    </w:p>
    <w:p>
      <w:pPr>
        <w:pStyle w:val="Normal"/>
        <w:jc w:val="both"/>
        <w:rPr>
          <w:rFonts w:ascii="Arial Narrow" w:hAnsi="Arial Narrow" w:cs="Calibri" w:cstheme="minorHAnsi"/>
          <w:color w:val="000000"/>
          <w:sz w:val="26"/>
          <w:szCs w:val="26"/>
        </w:rPr>
      </w:pPr>
      <w:r>
        <w:rPr>
          <w:b/>
          <w:bCs/>
        </w:rPr>
      </w:r>
    </w:p>
    <w:p>
      <w:pPr>
        <w:pStyle w:val="Normal"/>
        <w:jc w:val="both"/>
        <w:rPr>
          <w:rFonts w:ascii="Arial Narrow" w:hAnsi="Arial Narrow"/>
          <w:sz w:val="26"/>
          <w:szCs w:val="26"/>
        </w:rPr>
      </w:pPr>
      <w:r>
        <w:rPr>
          <w:rFonts w:cs="Calibri" w:ascii="Arial Narrow" w:hAnsi="Arial Narrow" w:cstheme="minorHAnsi"/>
          <w:color w:val="000000"/>
          <w:sz w:val="26"/>
          <w:szCs w:val="26"/>
        </w:rPr>
        <w:t xml:space="preserve">El </w:t>
      </w:r>
      <w:r>
        <w:rPr>
          <w:rFonts w:cs="Calibri" w:ascii="Arial Narrow" w:hAnsi="Arial Narrow" w:cstheme="minorHAnsi"/>
          <w:color w:val="000000"/>
          <w:sz w:val="26"/>
          <w:szCs w:val="26"/>
          <w:u w:val="none"/>
        </w:rPr>
        <w:t>Programa Corresponsables</w:t>
      </w:r>
      <w:r>
        <w:rPr>
          <w:rFonts w:cs="Calibri" w:ascii="Arial Narrow" w:hAnsi="Arial Narrow" w:cstheme="minorHAnsi"/>
          <w:color w:val="000000"/>
          <w:sz w:val="26"/>
          <w:szCs w:val="26"/>
        </w:rPr>
        <w:t xml:space="preserve"> ha supuesto para Jerez una subvención de 479.885 euros que ha servido para ampliar la Escuela de Verano, que en este 2024 está atendiendo a niños y niñas con discapacidad y a menores de la zona rural; junto a la implantación del programa Conciliando, con una bolsa de horas para cuidados dirigidos a familias en situación de vulnerabilidad que tengan necesidades de conciliación para una contratación, formación, búsqueda activa de empleo, o violencia de género, y que </w:t>
      </w:r>
      <w:r>
        <w:rPr>
          <w:rFonts w:cs="Calibri" w:ascii="Arial Narrow" w:hAnsi="Arial Narrow" w:cstheme="minorHAnsi"/>
          <w:color w:val="000000"/>
          <w:sz w:val="26"/>
          <w:szCs w:val="26"/>
          <w:u w:val="none"/>
        </w:rPr>
        <w:t>se pretende que esté en marcha a partir de septiembre.</w:t>
      </w:r>
    </w:p>
    <w:p>
      <w:pPr>
        <w:pStyle w:val="Normal"/>
        <w:jc w:val="both"/>
        <w:rPr>
          <w:rFonts w:ascii="Arial Narrow" w:hAnsi="Arial Narrow" w:eastAsia="Times New Roman" w:cs="Calibri" w:cstheme="minorHAnsi"/>
          <w:color w:val="000000"/>
          <w:sz w:val="26"/>
          <w:szCs w:val="26"/>
          <w:lang w:eastAsia="es-ES"/>
        </w:rPr>
      </w:pPr>
      <w:r>
        <w:rPr>
          <w:rFonts w:eastAsia="Times New Roman" w:cs="Calibri" w:cstheme="minorHAnsi" w:ascii="Arial Narrow" w:hAnsi="Arial Narrow"/>
          <w:color w:val="000000"/>
          <w:sz w:val="26"/>
          <w:szCs w:val="26"/>
          <w:lang w:eastAsia="es-ES"/>
        </w:rPr>
      </w:r>
    </w:p>
    <w:p>
      <w:pPr>
        <w:pStyle w:val="Normal"/>
        <w:jc w:val="both"/>
        <w:rPr>
          <w:rFonts w:ascii="Arial Narrow" w:hAnsi="Arial Narrow"/>
          <w:sz w:val="26"/>
          <w:szCs w:val="26"/>
        </w:rPr>
      </w:pPr>
      <w:r>
        <w:rPr>
          <w:rFonts w:cs="Calibri" w:ascii="Arial Narrow" w:hAnsi="Arial Narrow" w:cstheme="minorHAnsi"/>
          <w:color w:val="000000"/>
          <w:sz w:val="26"/>
          <w:szCs w:val="26"/>
        </w:rPr>
        <w:t xml:space="preserve">De la misma forma, Jerez afronta el reto de rentabilizar al máximo las oportunidades que nos ofrece la </w:t>
      </w:r>
      <w:r>
        <w:rPr>
          <w:rFonts w:eastAsia="Times New Roman" w:cs="Calibri" w:ascii="Arial Narrow" w:hAnsi="Arial Narrow" w:cstheme="minorHAnsi"/>
          <w:color w:val="000000"/>
          <w:sz w:val="26"/>
          <w:szCs w:val="26"/>
          <w:u w:val="none"/>
          <w:lang w:eastAsia="es-ES"/>
        </w:rPr>
        <w:t>Estrategia Regional Andaluza</w:t>
      </w:r>
      <w:r>
        <w:rPr>
          <w:rFonts w:eastAsia="Times New Roman" w:cs="Calibri" w:ascii="Arial Narrow" w:hAnsi="Arial Narrow" w:cstheme="minorHAnsi"/>
          <w:color w:val="000000"/>
          <w:sz w:val="26"/>
          <w:szCs w:val="26"/>
          <w:lang w:eastAsia="es-ES"/>
        </w:rPr>
        <w:t xml:space="preserve"> para la Cohesión e Inclusión Social (ERACIS), cofinanciadas por el Fondo Social Europeo Plus, y la subvención concedida de 8.621.965 euros para la elaboración de itinerarios de inclusión sociolaboral hasta el 31 de diciembre de 2028. Una vez redactado y aprobado el Plan Local de Intervención, que recoge un total de 859 medidas a favor del desarrollo social, el equipo ERACIS (formado por personal municipal, reforzado por 42 profesionales de la atención social incorporados a este programa) se han conformado los equipos multidisciplinares necesarios para comenzar a atender a la población de la zona Sur y Oeste-Picadueñas, continuando con el impulso a los </w:t>
      </w:r>
      <w:r>
        <w:rPr>
          <w:rFonts w:cs="Calibri" w:ascii="Arial Narrow" w:hAnsi="Arial Narrow" w:cstheme="minorHAnsi"/>
          <w:color w:val="000000"/>
          <w:sz w:val="26"/>
          <w:szCs w:val="26"/>
        </w:rPr>
        <w:t>Proceso Comunitarios Sur y Oeste</w:t>
      </w:r>
      <w:r>
        <w:rPr>
          <w:rFonts w:cs="Calibri" w:ascii="Arial Narrow" w:hAnsi="Arial Narrow" w:cstheme="minorHAnsi"/>
          <w:sz w:val="26"/>
          <w:szCs w:val="26"/>
        </w:rPr>
        <w:t xml:space="preserve">. </w:t>
      </w:r>
    </w:p>
    <w:p>
      <w:pPr>
        <w:pStyle w:val="Normal"/>
        <w:jc w:val="both"/>
        <w:rPr>
          <w:rFonts w:ascii="Arial Narrow" w:hAnsi="Arial Narrow" w:cs="Calibri" w:cstheme="minorHAnsi"/>
          <w:color w:val="000000"/>
          <w:sz w:val="26"/>
          <w:szCs w:val="26"/>
        </w:rPr>
      </w:pPr>
      <w:r>
        <w:rPr>
          <w:rFonts w:cs="Calibri" w:cstheme="minorHAnsi" w:ascii="Arial Narrow" w:hAnsi="Arial Narrow"/>
          <w:color w:val="000000"/>
          <w:sz w:val="26"/>
          <w:szCs w:val="26"/>
        </w:rPr>
      </w:r>
    </w:p>
    <w:p>
      <w:pPr>
        <w:pStyle w:val="Normal"/>
        <w:jc w:val="both"/>
        <w:rPr>
          <w:color w:val="000000"/>
        </w:rPr>
      </w:pPr>
      <w:r>
        <w:rPr>
          <w:rFonts w:cs="Calibri" w:ascii="Arial Narrow" w:hAnsi="Arial Narrow" w:cstheme="minorHAnsi"/>
          <w:color w:val="000000"/>
          <w:sz w:val="26"/>
          <w:szCs w:val="26"/>
        </w:rPr>
        <w:t xml:space="preserve">En materia de Personal, destacar que se aprobaba en Junta de Gobierno Local una inversión de 416.708 euros que permitió que </w:t>
      </w:r>
      <w:r>
        <w:rPr>
          <w:rFonts w:cs="Calibri" w:ascii="Arial Narrow" w:hAnsi="Arial Narrow" w:cstheme="minorHAnsi"/>
          <w:color w:val="000000"/>
          <w:sz w:val="26"/>
          <w:szCs w:val="26"/>
          <w:u w:val="none"/>
        </w:rPr>
        <w:t>12 funcionarios interinos</w:t>
      </w:r>
      <w:r>
        <w:rPr>
          <w:rFonts w:cs="Calibri" w:ascii="Arial Narrow" w:hAnsi="Arial Narrow" w:cstheme="minorHAnsi"/>
          <w:color w:val="000000"/>
          <w:sz w:val="26"/>
          <w:szCs w:val="26"/>
          <w:u w:val="single"/>
        </w:rPr>
        <w:t xml:space="preserve"> </w:t>
      </w:r>
      <w:r>
        <w:rPr>
          <w:rFonts w:cs="Calibri" w:ascii="Arial Narrow" w:hAnsi="Arial Narrow" w:cstheme="minorHAnsi"/>
          <w:color w:val="000000"/>
          <w:sz w:val="26"/>
          <w:szCs w:val="26"/>
        </w:rPr>
        <w:t>continúen prestando sus servicios durante este año en la Delegación de Inclusión Social. Se trataba de la tercera prórroga de este personal funcionario interino del programa ‘Refuerzo de Personal de los Servicios Sociales Comunitarios’.</w:t>
      </w:r>
    </w:p>
    <w:p>
      <w:pPr>
        <w:pStyle w:val="Normal"/>
        <w:jc w:val="both"/>
        <w:rPr>
          <w:rFonts w:ascii="Arial Narrow" w:hAnsi="Arial Narrow" w:cs="Calibri" w:cstheme="minorHAnsi"/>
          <w:color w:val="000000"/>
          <w:sz w:val="26"/>
          <w:szCs w:val="26"/>
        </w:rPr>
      </w:pPr>
      <w:r>
        <w:rPr>
          <w:rFonts w:cs="Calibri" w:cstheme="minorHAnsi" w:ascii="Arial Narrow" w:hAnsi="Arial Narrow"/>
          <w:color w:val="000000"/>
          <w:sz w:val="26"/>
          <w:szCs w:val="26"/>
        </w:rPr>
      </w:r>
    </w:p>
    <w:p>
      <w:pPr>
        <w:pStyle w:val="Normal"/>
        <w:jc w:val="both"/>
        <w:rPr>
          <w:color w:val="000000"/>
        </w:rPr>
      </w:pPr>
      <w:r>
        <w:rPr>
          <w:rFonts w:cs="Calibri" w:ascii="Arial Narrow" w:hAnsi="Arial Narrow" w:cstheme="minorHAnsi"/>
          <w:color w:val="000000"/>
          <w:sz w:val="26"/>
          <w:szCs w:val="26"/>
        </w:rPr>
        <w:t xml:space="preserve">En el año 2024, como novedad, destacar que Jerez era beneficiada con fondos de la </w:t>
      </w:r>
      <w:r>
        <w:rPr>
          <w:rFonts w:cs="Calibri" w:ascii="Arial Narrow" w:hAnsi="Arial Narrow" w:cstheme="minorHAnsi"/>
          <w:color w:val="000000"/>
          <w:sz w:val="26"/>
          <w:szCs w:val="26"/>
          <w:u w:val="none"/>
        </w:rPr>
        <w:t>LOPIVI,</w:t>
      </w:r>
      <w:r>
        <w:rPr>
          <w:rFonts w:cs="Calibri" w:ascii="Arial Narrow" w:hAnsi="Arial Narrow" w:cstheme="minorHAnsi"/>
          <w:color w:val="000000"/>
          <w:sz w:val="26"/>
          <w:szCs w:val="26"/>
        </w:rPr>
        <w:t xml:space="preserve"> lo que suponía la incorporación de un total de ocho profesionales para la intervención en relación con la protección de la infancia frente a la violencia.  Los crédito</w:t>
      </w:r>
      <w:r>
        <w:rPr>
          <w:rFonts w:cs="Calibri" w:ascii="Arial Narrow" w:hAnsi="Arial Narrow" w:cstheme="minorHAnsi"/>
          <w:color w:val="000000"/>
          <w:sz w:val="26"/>
          <w:szCs w:val="26"/>
        </w:rPr>
        <w:t>s</w:t>
      </w:r>
      <w:r>
        <w:rPr>
          <w:rFonts w:cs="Calibri" w:ascii="Arial Narrow" w:hAnsi="Arial Narrow" w:cstheme="minorHAnsi"/>
          <w:color w:val="000000"/>
          <w:sz w:val="26"/>
          <w:szCs w:val="26"/>
        </w:rPr>
        <w:t xml:space="preserve"> aprobados por el Ministerio (117.622 euros) y la Junta de Andalucía (117.622 euros) estaban destinados a la aplicación de </w:t>
      </w:r>
      <w:r>
        <w:rPr>
          <w:rFonts w:cs="Calibri" w:ascii="Arial Narrow" w:hAnsi="Arial Narrow" w:cstheme="minorHAnsi"/>
          <w:color w:val="000000"/>
          <w:sz w:val="26"/>
          <w:szCs w:val="26"/>
        </w:rPr>
        <w:t>l</w:t>
      </w:r>
      <w:r>
        <w:rPr>
          <w:rFonts w:cs="Calibri" w:ascii="Arial Narrow" w:hAnsi="Arial Narrow" w:cstheme="minorHAnsi"/>
          <w:color w:val="000000"/>
          <w:sz w:val="26"/>
          <w:szCs w:val="26"/>
        </w:rPr>
        <w:t>a Ley de Protección Integral de la Infancia Frente a la Violencia.</w:t>
      </w:r>
    </w:p>
    <w:p>
      <w:pPr>
        <w:pStyle w:val="Normal"/>
        <w:jc w:val="both"/>
        <w:rPr>
          <w:rFonts w:ascii="Arial Narrow" w:hAnsi="Arial Narrow" w:cs="Calibri" w:cstheme="minorHAnsi"/>
          <w:color w:val="000000"/>
          <w:sz w:val="26"/>
          <w:szCs w:val="26"/>
        </w:rPr>
      </w:pPr>
      <w:r>
        <w:rPr>
          <w:rFonts w:cs="Calibri" w:cstheme="minorHAnsi" w:ascii="Arial Narrow" w:hAnsi="Arial Narrow"/>
          <w:color w:val="000000"/>
          <w:sz w:val="26"/>
          <w:szCs w:val="26"/>
        </w:rPr>
      </w:r>
    </w:p>
    <w:p>
      <w:pPr>
        <w:pStyle w:val="Normal"/>
        <w:jc w:val="both"/>
        <w:rPr>
          <w:b/>
          <w:b/>
          <w:bCs/>
        </w:rPr>
      </w:pPr>
      <w:r>
        <w:rPr>
          <w:rFonts w:cs="Calibri" w:ascii="Arial Narrow" w:hAnsi="Arial Narrow" w:cstheme="minorHAnsi"/>
          <w:b/>
          <w:bCs/>
          <w:color w:val="000000"/>
          <w:sz w:val="26"/>
          <w:szCs w:val="26"/>
        </w:rPr>
        <w:t>Promoción de la Salud</w:t>
      </w:r>
    </w:p>
    <w:p>
      <w:pPr>
        <w:pStyle w:val="Normal"/>
        <w:jc w:val="both"/>
        <w:rPr>
          <w:rFonts w:ascii="Arial Narrow" w:hAnsi="Arial Narrow"/>
          <w:sz w:val="26"/>
          <w:szCs w:val="26"/>
        </w:rPr>
      </w:pPr>
      <w:r>
        <w:rPr/>
      </w:r>
    </w:p>
    <w:p>
      <w:pPr>
        <w:pStyle w:val="Normal"/>
        <w:jc w:val="both"/>
        <w:rPr>
          <w:rFonts w:ascii="Arial Narrow" w:hAnsi="Arial Narrow"/>
          <w:sz w:val="26"/>
          <w:szCs w:val="26"/>
        </w:rPr>
      </w:pPr>
      <w:r>
        <w:rPr>
          <w:rFonts w:cs="Calibri" w:ascii="Arial Narrow" w:hAnsi="Arial Narrow" w:cstheme="minorHAnsi"/>
          <w:b w:val="false"/>
          <w:bCs w:val="false"/>
          <w:color w:val="000000"/>
          <w:sz w:val="26"/>
          <w:szCs w:val="26"/>
        </w:rPr>
        <w:t xml:space="preserve">El Servicio de Promoción de la Salud ha ampliado en el año 2024 las iniciativas en las que participa la ciudad, con proyectos tan importantes como el </w:t>
      </w:r>
      <w:r>
        <w:rPr>
          <w:rFonts w:cs="Calibri" w:ascii="Arial Narrow" w:hAnsi="Arial Narrow" w:cstheme="minorHAnsi"/>
          <w:sz w:val="26"/>
          <w:szCs w:val="26"/>
        </w:rPr>
        <w:t xml:space="preserve">comité </w:t>
      </w:r>
      <w:r>
        <w:rPr>
          <w:rFonts w:cs="Calibri" w:ascii="Arial Narrow" w:hAnsi="Arial Narrow" w:cstheme="minorHAnsi"/>
          <w:sz w:val="26"/>
          <w:szCs w:val="26"/>
          <w:u w:val="none"/>
        </w:rPr>
        <w:t>Fast-Track de Jerez</w:t>
      </w:r>
      <w:r>
        <w:rPr>
          <w:rFonts w:cs="Calibri" w:ascii="Arial Narrow" w:hAnsi="Arial Narrow" w:cstheme="minorHAnsi"/>
          <w:sz w:val="26"/>
          <w:szCs w:val="26"/>
        </w:rPr>
        <w:t xml:space="preserve"> que se constituía el pasado mes de octubre para elaborar el primer Plan Fast Track Jerez, que se desarrollará en el periodo 2024-2026 con el objetivo de detener la transmisión del VIH, y otras ITS. En el mes de noviembre, se </w:t>
      </w:r>
      <w:r>
        <w:rPr>
          <w:rFonts w:cs="Calibri" w:ascii="Arial Narrow" w:hAnsi="Arial Narrow" w:cstheme="minorHAnsi"/>
          <w:sz w:val="26"/>
          <w:szCs w:val="26"/>
        </w:rPr>
        <w:t xml:space="preserve">presentó </w:t>
      </w:r>
      <w:r>
        <w:rPr>
          <w:rFonts w:cs="Calibri" w:ascii="Arial Narrow" w:hAnsi="Arial Narrow" w:cstheme="minorHAnsi"/>
          <w:sz w:val="26"/>
          <w:szCs w:val="26"/>
        </w:rPr>
        <w:t>su página web, y un video elaborado para dar difusión al Plan.</w:t>
      </w:r>
    </w:p>
    <w:p>
      <w:pPr>
        <w:pStyle w:val="Normal"/>
        <w:jc w:val="both"/>
        <w:rPr>
          <w:rFonts w:ascii="Arial Narrow" w:hAnsi="Arial Narrow" w:cs="Calibri" w:cstheme="minorHAnsi"/>
          <w:sz w:val="26"/>
          <w:szCs w:val="26"/>
        </w:rPr>
      </w:pPr>
      <w:r>
        <w:rPr>
          <w:rFonts w:cs="Calibri" w:cstheme="minorHAnsi" w:ascii="Arial Narrow" w:hAnsi="Arial Narrow"/>
          <w:sz w:val="26"/>
          <w:szCs w:val="26"/>
        </w:rPr>
      </w:r>
    </w:p>
    <w:p>
      <w:pPr>
        <w:pStyle w:val="Normal"/>
        <w:jc w:val="both"/>
        <w:rPr>
          <w:rFonts w:ascii="Arial Narrow" w:hAnsi="Arial Narrow"/>
          <w:sz w:val="26"/>
          <w:szCs w:val="26"/>
        </w:rPr>
      </w:pPr>
      <w:r>
        <w:rPr>
          <w:rFonts w:cs="Calibri" w:ascii="Arial Narrow" w:hAnsi="Arial Narrow" w:cstheme="minorHAnsi"/>
          <w:sz w:val="26"/>
          <w:szCs w:val="26"/>
        </w:rPr>
        <w:t xml:space="preserve">También recordar la Adhesión a los compromisos de </w:t>
      </w:r>
      <w:r>
        <w:rPr>
          <w:rFonts w:cs="Calibri" w:ascii="Arial Narrow" w:hAnsi="Arial Narrow" w:cstheme="minorHAnsi"/>
          <w:sz w:val="26"/>
          <w:szCs w:val="26"/>
          <w:u w:val="none"/>
        </w:rPr>
        <w:t>HepCityFree</w:t>
      </w:r>
      <w:r>
        <w:rPr>
          <w:rFonts w:cs="Calibri" w:ascii="Arial Narrow" w:hAnsi="Arial Narrow" w:cstheme="minorHAnsi"/>
          <w:sz w:val="26"/>
          <w:szCs w:val="26"/>
        </w:rPr>
        <w:t xml:space="preserve">, un movimiento para que las ciudades lideren la lucha por la eliminación de la Hepatitis C en España. </w:t>
      </w:r>
    </w:p>
    <w:p>
      <w:pPr>
        <w:pStyle w:val="Normal"/>
        <w:jc w:val="both"/>
        <w:rPr>
          <w:rFonts w:ascii="Arial Narrow" w:hAnsi="Arial Narrow" w:cs="Calibri" w:cstheme="minorHAnsi"/>
          <w:sz w:val="26"/>
          <w:szCs w:val="26"/>
        </w:rPr>
      </w:pPr>
      <w:r>
        <w:rPr>
          <w:rFonts w:cs="Calibri" w:cstheme="minorHAnsi" w:ascii="Arial Narrow" w:hAnsi="Arial Narrow"/>
          <w:sz w:val="26"/>
          <w:szCs w:val="26"/>
        </w:rPr>
      </w:r>
    </w:p>
    <w:p>
      <w:pPr>
        <w:pStyle w:val="Normal"/>
        <w:jc w:val="both"/>
        <w:rPr>
          <w:rFonts w:ascii="Arial Narrow" w:hAnsi="Arial Narrow"/>
          <w:sz w:val="26"/>
          <w:szCs w:val="26"/>
        </w:rPr>
      </w:pPr>
      <w:r>
        <w:rPr>
          <w:rFonts w:cs="Calibri" w:ascii="Arial Narrow" w:hAnsi="Arial Narrow" w:cstheme="minorHAnsi"/>
          <w:sz w:val="26"/>
          <w:szCs w:val="26"/>
        </w:rPr>
        <w:t xml:space="preserve">En este año, Jerez ha recibido el </w:t>
      </w:r>
      <w:r>
        <w:rPr>
          <w:rFonts w:cs="Calibri" w:ascii="Arial Narrow" w:hAnsi="Arial Narrow" w:cstheme="minorHAnsi"/>
          <w:sz w:val="26"/>
          <w:szCs w:val="26"/>
          <w:u w:val="none"/>
        </w:rPr>
        <w:t>Distintivo</w:t>
      </w:r>
      <w:r>
        <w:rPr>
          <w:rFonts w:cs="Calibri" w:ascii="Arial Narrow" w:hAnsi="Arial Narrow" w:cstheme="minorHAnsi"/>
          <w:sz w:val="26"/>
          <w:szCs w:val="26"/>
        </w:rPr>
        <w:t xml:space="preserve"> de las Ciudades Comprometidas con los Derechos Humanos y los Objetivos de Desarrollo Sostenible.</w:t>
      </w:r>
    </w:p>
    <w:p>
      <w:pPr>
        <w:pStyle w:val="Normal"/>
        <w:jc w:val="both"/>
        <w:rPr>
          <w:rFonts w:ascii="Arial Narrow" w:hAnsi="Arial Narrow" w:cs="Calibri" w:cstheme="minorHAnsi"/>
          <w:sz w:val="26"/>
          <w:szCs w:val="26"/>
        </w:rPr>
      </w:pPr>
      <w:r>
        <w:rPr>
          <w:rFonts w:cs="Calibri" w:cstheme="minorHAnsi" w:ascii="Arial Narrow" w:hAnsi="Arial Narrow"/>
          <w:sz w:val="26"/>
          <w:szCs w:val="26"/>
        </w:rPr>
      </w:r>
    </w:p>
    <w:p>
      <w:pPr>
        <w:pStyle w:val="Normal"/>
        <w:jc w:val="both"/>
        <w:rPr>
          <w:rFonts w:ascii="Arial Narrow" w:hAnsi="Arial Narrow"/>
          <w:sz w:val="26"/>
          <w:szCs w:val="26"/>
        </w:rPr>
      </w:pPr>
      <w:r>
        <w:rPr>
          <w:rFonts w:cs="Calibri" w:ascii="Arial Narrow" w:hAnsi="Arial Narrow" w:cstheme="minorHAnsi"/>
          <w:color w:val="000000"/>
          <w:sz w:val="26"/>
          <w:szCs w:val="26"/>
        </w:rPr>
        <w:t xml:space="preserve">El Ayuntamiento de Jerez ha dado un nuevo paso para la creación del </w:t>
      </w:r>
      <w:r>
        <w:rPr>
          <w:rFonts w:cs="Calibri" w:ascii="Arial Narrow" w:hAnsi="Arial Narrow" w:cstheme="minorHAnsi"/>
          <w:color w:val="000000"/>
          <w:sz w:val="26"/>
          <w:szCs w:val="26"/>
          <w:u w:val="none"/>
        </w:rPr>
        <w:t>Consejo Local de la Infancia y Adolescencia</w:t>
      </w:r>
      <w:r>
        <w:rPr>
          <w:rFonts w:cs="Calibri" w:ascii="Arial Narrow" w:hAnsi="Arial Narrow" w:cstheme="minorHAnsi"/>
          <w:color w:val="000000"/>
          <w:sz w:val="26"/>
          <w:szCs w:val="26"/>
        </w:rPr>
        <w:t xml:space="preserve"> (CLIA), un órgano de participación con el que el Gobierno de Jerez está comprometido para dar voz a este segmento de la población jerezana en el ámbito de las políticas municipales. En cuanto a la Infancia, señalar que el </w:t>
      </w:r>
      <w:r>
        <w:rPr>
          <w:rFonts w:cs="Calibri" w:ascii="Arial Narrow" w:hAnsi="Arial Narrow" w:cstheme="minorHAnsi"/>
          <w:color w:val="000000"/>
          <w:sz w:val="26"/>
          <w:szCs w:val="26"/>
          <w:u w:val="none"/>
        </w:rPr>
        <w:t>Servicio de Actuación Socioeducativa con Infancia y Adolescencia</w:t>
      </w:r>
      <w:r>
        <w:rPr>
          <w:rFonts w:cs="Calibri" w:ascii="Arial Narrow" w:hAnsi="Arial Narrow" w:cstheme="minorHAnsi"/>
          <w:color w:val="000000"/>
          <w:sz w:val="26"/>
          <w:szCs w:val="26"/>
        </w:rPr>
        <w:t xml:space="preserve"> atiende a las necesidades de intervención con familias en situación de riesgo social, con diferentes programas, entre ellos el de I</w:t>
      </w:r>
      <w:r>
        <w:rPr>
          <w:rFonts w:cs="Calibri" w:ascii="Arial Narrow" w:hAnsi="Arial Narrow" w:cstheme="minorHAnsi"/>
          <w:sz w:val="26"/>
          <w:szCs w:val="26"/>
        </w:rPr>
        <w:t xml:space="preserve">ntervención Grupal, con 70 niños y niñas entre los 6 y 10 </w:t>
      </w:r>
      <w:r>
        <w:rPr>
          <w:rFonts w:cs="Calibri" w:ascii="Arial Narrow" w:hAnsi="Arial Narrow" w:cstheme="minorHAnsi"/>
          <w:sz w:val="26"/>
          <w:szCs w:val="26"/>
        </w:rPr>
        <w:t>años</w:t>
      </w:r>
      <w:r>
        <w:rPr>
          <w:rFonts w:cs="Calibri" w:ascii="Arial Narrow" w:hAnsi="Arial Narrow" w:cstheme="minorHAnsi"/>
          <w:sz w:val="26"/>
          <w:szCs w:val="26"/>
        </w:rPr>
        <w:t>; el Programa de Apoyo Socio-educativo con Adolescentes, con  50 chicos y chicas de entre 12 y 17 años, o el Programa específico de Refuerzo y Apoyo de Aprendizajes Instrumentales básicos, con 85 menores derivados de los diferentes programas de Servicios Sociales de entre 5 y 17 años.</w:t>
      </w:r>
    </w:p>
    <w:p>
      <w:pPr>
        <w:pStyle w:val="Normal"/>
        <w:jc w:val="both"/>
        <w:rPr>
          <w:rFonts w:ascii="Arial Narrow" w:hAnsi="Arial Narrow" w:cs="Calibri" w:cstheme="minorHAnsi"/>
          <w:b/>
          <w:b/>
          <w:color w:val="000000"/>
          <w:sz w:val="26"/>
          <w:szCs w:val="26"/>
        </w:rPr>
      </w:pPr>
      <w:r>
        <w:rPr>
          <w:rFonts w:cs="Calibri" w:cstheme="minorHAnsi" w:ascii="Arial Narrow" w:hAnsi="Arial Narrow"/>
          <w:b/>
          <w:color w:val="000000"/>
          <w:sz w:val="26"/>
          <w:szCs w:val="26"/>
        </w:rPr>
      </w:r>
    </w:p>
    <w:p>
      <w:pPr>
        <w:pStyle w:val="Normal"/>
        <w:jc w:val="both"/>
        <w:rPr>
          <w:rFonts w:ascii="Arial Narrow" w:hAnsi="Arial Narrow"/>
          <w:sz w:val="26"/>
          <w:szCs w:val="26"/>
        </w:rPr>
      </w:pPr>
      <w:r>
        <w:rPr>
          <w:rFonts w:cs="Calibri" w:ascii="Arial Narrow" w:hAnsi="Arial Narrow" w:cstheme="minorHAnsi"/>
          <w:b w:val="false"/>
          <w:bCs w:val="false"/>
          <w:color w:val="000000"/>
          <w:sz w:val="26"/>
          <w:szCs w:val="26"/>
        </w:rPr>
        <w:t xml:space="preserve">En el ámbito de la Promoción de las </w:t>
      </w:r>
      <w:r>
        <w:rPr>
          <w:rFonts w:cs="Calibri" w:ascii="Arial Narrow" w:hAnsi="Arial Narrow" w:cstheme="minorHAnsi"/>
          <w:b w:val="false"/>
          <w:bCs w:val="false"/>
          <w:color w:val="000000"/>
          <w:sz w:val="26"/>
          <w:szCs w:val="26"/>
          <w:u w:val="none"/>
        </w:rPr>
        <w:t>Personas Mayores, se ha</w:t>
      </w:r>
      <w:r>
        <w:rPr>
          <w:rFonts w:cs="Calibri" w:ascii="Arial Narrow" w:hAnsi="Arial Narrow" w:cstheme="minorHAnsi"/>
          <w:b w:val="false"/>
          <w:bCs w:val="false"/>
          <w:color w:val="000000"/>
          <w:sz w:val="26"/>
          <w:szCs w:val="26"/>
        </w:rPr>
        <w:t xml:space="preserve"> celebrado la Semana de las Personas Mayores, con el lema ‘Dejando huella’. En el curso 2023/24, el Programa de Envejecimiento Activo ha contado con</w:t>
      </w:r>
      <w:r>
        <w:rPr>
          <w:rFonts w:cs="Calibri" w:ascii="Arial Narrow" w:hAnsi="Arial Narrow" w:cstheme="minorHAnsi"/>
          <w:sz w:val="26"/>
          <w:szCs w:val="26"/>
        </w:rPr>
        <w:t xml:space="preserve"> 1.750 participantes inscrito en los talleres que se desarrollan en los Centros de Participación Activa Municipales y los Centros de Barrio del Zona Rural de Jerez. </w:t>
      </w:r>
    </w:p>
    <w:p>
      <w:pPr>
        <w:pStyle w:val="Normal"/>
        <w:jc w:val="both"/>
        <w:rPr>
          <w:rFonts w:ascii="Arial Narrow" w:hAnsi="Arial Narrow" w:cs="Calibri" w:cstheme="minorHAnsi"/>
          <w:b/>
          <w:b/>
          <w:bCs/>
          <w:sz w:val="26"/>
          <w:szCs w:val="26"/>
        </w:rPr>
      </w:pPr>
      <w:r>
        <w:rPr>
          <w:rFonts w:cs="Calibri" w:cstheme="minorHAnsi" w:ascii="Arial Narrow" w:hAnsi="Arial Narrow"/>
          <w:b/>
          <w:bCs/>
          <w:sz w:val="26"/>
          <w:szCs w:val="26"/>
        </w:rPr>
      </w:r>
    </w:p>
    <w:p>
      <w:pPr>
        <w:pStyle w:val="Normal"/>
        <w:jc w:val="both"/>
        <w:rPr>
          <w:rFonts w:ascii="Arial Narrow" w:hAnsi="Arial Narrow" w:cs="Calibri" w:cstheme="minorHAnsi"/>
          <w:b w:val="false"/>
          <w:b w:val="false"/>
          <w:bCs w:val="false"/>
          <w:sz w:val="26"/>
          <w:szCs w:val="26"/>
        </w:rPr>
      </w:pPr>
      <w:bookmarkStart w:id="0" w:name="_GoBack"/>
      <w:bookmarkEnd w:id="0"/>
      <w:r>
        <w:rPr>
          <w:rFonts w:cs="Calibri" w:ascii="Arial Narrow" w:hAnsi="Arial Narrow" w:cstheme="minorHAnsi"/>
          <w:b w:val="false"/>
          <w:bCs w:val="false"/>
          <w:color w:val="000000"/>
          <w:sz w:val="26"/>
          <w:szCs w:val="26"/>
        </w:rPr>
        <w:t>En cuanto a la atención a la Discapacidad, este año destaca la presentación del musical ‘Como tú’, con más de doscientos artistas sobre el escenario, reivindicando la inclusión real en todos los aspectos de la vida y servicios adaptados a sus necesidades, en un año en el que el Ayuntamiento ha seguido apostando por ofrecer las condiciones idóneas para el disfrute de unos ciclos festivos y eventos inclusivos.</w:t>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9">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5">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2"/>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LibreOffice/7.3.6.2$Windows_X86_64 LibreOffice_project/c28ca90fd6e1a19e189fc16c05f8f8924961e12e</Application>
  <AppVersion>15.0000</AppVersion>
  <Pages>4</Pages>
  <Words>1423</Words>
  <Characters>7376</Characters>
  <CharactersWithSpaces>8789</CharactersWithSpaces>
  <Paragraphs>22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2024-06-10T06:07:00Z</dcterms:created>
  <dc:creator>ADELIFL</dc:creator>
  <dc:description/>
  <dc:language>es-ES</dc:language>
  <cp:lastModifiedBy/>
  <cp:lastPrinted>2023-10-11T07:08:00Z</cp:lastPrinted>
  <dcterms:modified xsi:type="dcterms:W3CDTF">2025-01-17T11:59:50Z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