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49C2" w:rsidRDefault="00963CEF">
      <w:pPr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  <w:t xml:space="preserve">Dúo Equipo Creativo lleva a Los Claustros de Santo Domingo la exposición de arte japonés </w:t>
      </w:r>
      <w:proofErr w:type="spellStart"/>
      <w:r>
        <w:rPr>
          <w:rFonts w:ascii="Arial Narrow" w:eastAsia="Arial" w:hAnsi="Arial Narrow" w:cs="Arial Narrow"/>
          <w:b/>
          <w:bCs/>
          <w:i/>
          <w:sz w:val="40"/>
          <w:szCs w:val="26"/>
          <w:lang w:eastAsia="es-ES_tradnl"/>
        </w:rPr>
        <w:t>Gyotaku</w:t>
      </w:r>
      <w:proofErr w:type="spellEnd"/>
      <w:r>
        <w:rPr>
          <w:rFonts w:ascii="Arial Narrow" w:eastAsia="Arial" w:hAnsi="Arial Narrow" w:cs="Arial Narrow"/>
          <w:b/>
          <w:bCs/>
          <w:i/>
          <w:sz w:val="40"/>
          <w:szCs w:val="26"/>
          <w:lang w:eastAsia="es-ES_tradnl"/>
        </w:rPr>
        <w:t>, la sostenibilidad en el horizonte</w:t>
      </w:r>
    </w:p>
    <w:p w:rsidR="00DC49C2" w:rsidRDefault="00DC49C2">
      <w:pPr>
        <w:jc w:val="both"/>
        <w:rPr>
          <w:rFonts w:ascii="Arial Narrow" w:eastAsia="Arial" w:hAnsi="Arial Narrow" w:cs="Arial Narrow"/>
          <w:b/>
          <w:bCs/>
          <w:sz w:val="40"/>
          <w:szCs w:val="26"/>
          <w:lang w:eastAsia="es-ES_tradnl"/>
        </w:rPr>
      </w:pPr>
    </w:p>
    <w:p w:rsidR="00DC49C2" w:rsidRDefault="00963CEF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11 de febrero de 2025.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El Ayuntamiento de Jerez junto a la Universidad de Cádiz presentan la exposición de arte japonés </w:t>
      </w:r>
      <w:proofErr w:type="spellStart"/>
      <w:r>
        <w:rPr>
          <w:rFonts w:ascii="Arial Narrow" w:eastAsia="Arial" w:hAnsi="Arial Narrow" w:cs="Arial Narrow"/>
          <w:bCs/>
          <w:i/>
          <w:sz w:val="26"/>
          <w:szCs w:val="26"/>
          <w:lang w:eastAsia="es-ES_tradnl"/>
        </w:rPr>
        <w:t>Gyotaku</w:t>
      </w:r>
      <w:proofErr w:type="spellEnd"/>
      <w:r>
        <w:rPr>
          <w:rFonts w:ascii="Arial Narrow" w:eastAsia="Arial" w:hAnsi="Arial Narrow" w:cs="Arial Narrow"/>
          <w:bCs/>
          <w:i/>
          <w:sz w:val="26"/>
          <w:szCs w:val="26"/>
          <w:lang w:eastAsia="es-ES_tradnl"/>
        </w:rPr>
        <w:t>, la sostenibilidad en el horizonte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de Dúo Equipo Creativo, formado por Gabriela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Diosdado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Selma y Domingo Martínez González, que se inaugura el</w:t>
      </w:r>
      <w:bookmarkStart w:id="0" w:name="_GoBack"/>
      <w:bookmarkEnd w:id="0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miércoles, día 12 de febrero, 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las 19 horas,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 la primera planta de Los Claustros de Santo Domingo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. Seguidamente, tendrá lugar un concierto de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Shaminen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instrumento tradicional japonés de cuerda, a cargo del músico José Luque, con entrada libre hasta completar aforo. </w:t>
      </w:r>
    </w:p>
    <w:p w:rsidR="00DC49C2" w:rsidRDefault="00DC49C2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DC49C2" w:rsidRDefault="00963CEF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Esta actividad se enmarca en el ciclo 'De Oriente a Occidente: Japón en la UCA', pro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gramación del 20 aniversario del Campus de Jerez. La muestra permanecerá abierta al público hasta el 29 de marzo, siendo el horario de visita de martes a viernes, de 10.30 a 13.30 horas, y de 18 a 21 horas; sábados, de 10 a 13.45 horas; y domingos, lunes y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festivos, cerrados.</w:t>
      </w:r>
    </w:p>
    <w:p w:rsidR="00DC49C2" w:rsidRDefault="00DC49C2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DC49C2" w:rsidRDefault="00963CEF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Sobre el concepto '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Gyotaku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' que da nombre a la exposición, los autores señalan que se trata de "un método de estampación que permite registrar metódica y fielmente una pieza que ha resultado ser una excelente solución para quieres inv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estigamos el grabado sostenible, pues el pescado protagonista de la estampación puede ser consumido tras su registro en el papel, demostrando así de forma patente la no toxicidad del proceso". </w:t>
      </w:r>
    </w:p>
    <w:p w:rsidR="00DC49C2" w:rsidRDefault="00DC49C2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DC49C2" w:rsidRDefault="00963CEF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En cuanto a su trayectoria, tanto Gabriela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Diosdado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como Domi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ngo Martínez, han participado en cursos, publicaciones didácticas, actividades formativas, especializándose en los últimos avances sobre grabado sostenible. En referencia a la técnica japonesa de estampación de especies acuáticas, su dedicación surge a par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tir de una publicación de Mª Mar Bernal, profesora de la Facultad de Bellas Artes de Sevilla, realizando numerosas actividades y exposiciones. </w:t>
      </w:r>
    </w:p>
    <w:p w:rsidR="00DC49C2" w:rsidRDefault="00DC49C2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DC49C2" w:rsidRDefault="00963CEF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Asimismo, han establecido contacto con galerías participantes en la Feria Internacional de Grabado de Bilbao, C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asa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Falconieri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Cerdeña,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l'Atelier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'La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Main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Gauche' de Toulouse y galerías de Osaka, en Japón, entre otros grupos de carácter internacional como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Edinburg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Printmakers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; son miembros de '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Gyotaku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Art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Europe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' y han llevado su obra al Museo de Historia Natu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ral de Nueva York.</w:t>
      </w:r>
    </w:p>
    <w:p w:rsidR="00DC49C2" w:rsidRDefault="00DC49C2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DC49C2" w:rsidRDefault="00963CEF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(Se adjunta cartel)</w:t>
      </w:r>
    </w:p>
    <w:p w:rsidR="00DC49C2" w:rsidRDefault="00DC49C2">
      <w:pPr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sectPr w:rsidR="00DC49C2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3CEF">
      <w:r>
        <w:separator/>
      </w:r>
    </w:p>
  </w:endnote>
  <w:endnote w:type="continuationSeparator" w:id="0">
    <w:p w:rsidR="00000000" w:rsidRDefault="0096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9C2" w:rsidRDefault="00963CEF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3CEF">
      <w:r>
        <w:separator/>
      </w:r>
    </w:p>
  </w:footnote>
  <w:footnote w:type="continuationSeparator" w:id="0">
    <w:p w:rsidR="00000000" w:rsidRDefault="00963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9C2" w:rsidRDefault="00963CEF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-1573530</wp:posOffset>
          </wp:positionH>
          <wp:positionV relativeFrom="paragraph">
            <wp:posOffset>613410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B2223"/>
    <w:multiLevelType w:val="multilevel"/>
    <w:tmpl w:val="A1828D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0E262A"/>
    <w:multiLevelType w:val="multilevel"/>
    <w:tmpl w:val="8B3879E8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C2"/>
    <w:rsid w:val="00963CEF"/>
    <w:rsid w:val="00DC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CA95C-4754-4270-AD34-9F6E267B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694C0B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qFormat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3FD6B-E418-4436-9DC9-5E3F766F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359</Words>
  <Characters>1979</Characters>
  <Application>Microsoft Office Word</Application>
  <DocSecurity>0</DocSecurity>
  <Lines>16</Lines>
  <Paragraphs>4</Paragraphs>
  <ScaleCrop>false</ScaleCrop>
  <Company>HP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10</cp:revision>
  <cp:lastPrinted>2024-12-16T11:51:00Z</cp:lastPrinted>
  <dcterms:created xsi:type="dcterms:W3CDTF">2025-02-11T11:44:00Z</dcterms:created>
  <dcterms:modified xsi:type="dcterms:W3CDTF">2025-02-11T13:19:00Z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