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200"/>
        <w:jc w:val="left"/>
        <w:rPr>
          <w:b/>
          <w:b/>
          <w:bCs/>
          <w:sz w:val="40"/>
          <w:szCs w:val="40"/>
        </w:rPr>
      </w:pPr>
      <w:r>
        <w:rPr>
          <w:rFonts w:eastAsia="NSimSun" w:cs="Alef" w:ascii="Arial Narrow" w:hAnsi="Arial Narrow"/>
          <w:b/>
          <w:bCs/>
          <w:i w:val="false"/>
          <w:iCs w:val="false"/>
          <w:color w:val="000000"/>
          <w:spacing w:val="-2"/>
          <w:sz w:val="40"/>
          <w:szCs w:val="40"/>
          <w:lang w:val="es-ES" w:bidi="hi-IN"/>
        </w:rPr>
        <w:t>El Ayuntamiento aprueba participar en una convocatoria de subvenciones de la Junta para desarrollar acciones de dinamización del comercio local por valor de 72.600 euros</w:t>
      </w:r>
    </w:p>
    <w:p>
      <w:pPr>
        <w:pStyle w:val="Normal"/>
        <w:spacing w:lineRule="auto" w:line="240" w:before="0" w:after="200"/>
        <w:jc w:val="both"/>
        <w:rPr>
          <w:rFonts w:ascii="Arial Narrow" w:hAnsi="Arial Narrow"/>
          <w:sz w:val="26"/>
          <w:szCs w:val="26"/>
        </w:rPr>
      </w:pPr>
      <w:r>
        <w:rPr>
          <w:rFonts w:eastAsia="Malgun Gothic" w:cs="Helvetica" w:ascii="Arial Narrow" w:hAnsi="Arial Narrow"/>
          <w:b/>
          <w:bCs/>
          <w:color w:val="000000"/>
          <w:kern w:val="0"/>
          <w:sz w:val="26"/>
          <w:szCs w:val="26"/>
          <w:lang w:eastAsia="es-ES_tradnl"/>
        </w:rPr>
        <w:t>10</w:t>
      </w:r>
      <w:r>
        <w:rPr>
          <w:rFonts w:eastAsia="Malgun Gothic" w:cs="Helvetica" w:ascii="Arial Narrow" w:hAnsi="Arial Narrow"/>
          <w:b/>
          <w:bCs/>
          <w:color w:val="000000"/>
          <w:kern w:val="0"/>
          <w:sz w:val="26"/>
          <w:szCs w:val="26"/>
          <w:lang w:eastAsia="es-ES_tradnl"/>
        </w:rPr>
        <w:t xml:space="preserve"> de mayo de 2025</w:t>
      </w:r>
      <w:r>
        <w:rPr>
          <w:rFonts w:eastAsia="Malgun Gothic" w:cs="Helvetica" w:ascii="Arial Narrow" w:hAnsi="Arial Narrow"/>
          <w:color w:val="000000"/>
          <w:kern w:val="0"/>
          <w:sz w:val="26"/>
          <w:szCs w:val="26"/>
          <w:lang w:eastAsia="es-ES_tradnl"/>
        </w:rPr>
        <w:t xml:space="preserve">. La Junta de Gobierno local ha aprobado la participación del Ayuntamiento de Jerez en la convocatoria de subvenciones de la Junta de Andalucía destinadas a impulsar la mejora, modernización y promoción del comercio y la artesanía en municipios de Andalucía. “Con esta iniciativa, desde el Gobierno Local queremos seguir apoyando y contribuyendo al desarrollo del comercio de Jerez, un sector clave para la economía local y para la generación de empleo”, ha señalado la delegada de Comercio, Nela García. </w:t>
      </w:r>
    </w:p>
    <w:p>
      <w:pPr>
        <w:pStyle w:val="Normal"/>
        <w:spacing w:lineRule="auto" w:line="240" w:before="0" w:after="200"/>
        <w:jc w:val="both"/>
        <w:rPr>
          <w:rFonts w:ascii="Arial Narrow" w:hAnsi="Arial Narrow"/>
          <w:sz w:val="26"/>
          <w:szCs w:val="26"/>
        </w:rPr>
      </w:pPr>
      <w:r>
        <w:rPr>
          <w:rFonts w:eastAsia="Malgun Gothic" w:cs="Helvetica" w:ascii="Arial Narrow" w:hAnsi="Arial Narrow"/>
          <w:color w:val="000000"/>
          <w:kern w:val="0"/>
          <w:sz w:val="26"/>
          <w:szCs w:val="26"/>
          <w:lang w:eastAsia="es-ES_tradnl"/>
        </w:rPr>
        <w:t>Estas subvenciones, que van dirigidas a administraciones locales, fueron convocadas a través de la Resolución de 2 de abril de 2025 de la Dirección General de Comercio, e incluye dos líneas de actuaciones diferenciadas, a las que se va a acoger el Ayuntamiento de Jerez: por  un lado, la línea 1 contempla medidas</w:t>
      </w:r>
      <w:r>
        <w:rPr>
          <w:rFonts w:eastAsia="Malgun Gothic" w:cs="Helvetica" w:ascii="Arial Narrow" w:hAnsi="Arial Narrow"/>
          <w:b w:val="false"/>
          <w:bCs w:val="false"/>
          <w:color w:val="000000"/>
          <w:kern w:val="0"/>
          <w:sz w:val="26"/>
          <w:szCs w:val="26"/>
          <w:lang w:eastAsia="es-ES_tradnl"/>
        </w:rPr>
        <w:t xml:space="preserve"> dirigidas a promover la inversión en la mejora y modernización de infraestructuras y de la transformación digital del comercio local y de la artesanía, mientras que la línea 2 promueve iniciativas destinadas a impulsar acciones de planificación estratégica y de dinamización y promoción. </w:t>
      </w:r>
    </w:p>
    <w:p>
      <w:pPr>
        <w:pStyle w:val="Normal"/>
        <w:spacing w:lineRule="auto" w:line="240"/>
        <w:jc w:val="both"/>
        <w:rPr>
          <w:rFonts w:ascii="Arial Narrow" w:hAnsi="Arial Narrow" w:eastAsia="Arial" w:cs="Arial"/>
          <w:sz w:val="26"/>
          <w:szCs w:val="26"/>
        </w:rPr>
      </w:pPr>
      <w:r>
        <w:rPr>
          <w:rFonts w:eastAsia="Arial" w:cs="Arial" w:ascii="Arial Narrow" w:hAnsi="Arial Narrow"/>
          <w:sz w:val="26"/>
          <w:szCs w:val="26"/>
        </w:rPr>
        <w:t>Como ha explicado Nela García, “dentro de nuestra</w:t>
      </w:r>
      <w:r>
        <w:rPr>
          <w:rFonts w:eastAsia="NSimSun" w:cs="Arial" w:ascii="Arial Narrow" w:hAnsi="Arial Narrow"/>
          <w:b w:val="false"/>
          <w:bCs w:val="false"/>
          <w:i w:val="false"/>
          <w:sz w:val="26"/>
          <w:szCs w:val="26"/>
          <w:lang w:val="es-ES" w:eastAsia="zh-CN" w:bidi="hi-IN"/>
        </w:rPr>
        <w:t xml:space="preserve"> apuesta decidida por potenciar y apoyar el comercio local de la ciudad, y establecer mecanismos de promoción y defensa de los intereses de los empresarios, hemos incluido un total de cinco propuestas de mejora, en estas dos líneas de actuación, que suman entre un importe de 72.600 euros”. </w:t>
      </w:r>
    </w:p>
    <w:p>
      <w:pPr>
        <w:pStyle w:val="Normal"/>
        <w:spacing w:lineRule="auto" w:line="240"/>
        <w:jc w:val="both"/>
        <w:rPr>
          <w:rFonts w:ascii="Arial Narrow" w:hAnsi="Arial Narrow" w:eastAsia="Arial" w:cs="Arial"/>
          <w:b/>
          <w:b/>
          <w:bCs/>
          <w:sz w:val="26"/>
          <w:szCs w:val="26"/>
        </w:rPr>
      </w:pPr>
      <w:r>
        <w:rPr>
          <w:rFonts w:eastAsia="NSimSun" w:cs="Arial" w:ascii="Arial Narrow" w:hAnsi="Arial Narrow"/>
          <w:b/>
          <w:bCs/>
          <w:i w:val="false"/>
          <w:sz w:val="26"/>
          <w:szCs w:val="26"/>
          <w:lang w:val="es-ES" w:eastAsia="zh-CN" w:bidi="hi-IN"/>
        </w:rPr>
        <w:t>Línea de actuación 1</w:t>
      </w:r>
    </w:p>
    <w:p>
      <w:pPr>
        <w:pStyle w:val="Normal"/>
        <w:spacing w:lineRule="auto" w:line="240"/>
        <w:jc w:val="both"/>
        <w:rPr>
          <w:rFonts w:ascii="Arial Narrow" w:hAnsi="Arial Narrow"/>
          <w:sz w:val="26"/>
          <w:szCs w:val="26"/>
        </w:rPr>
      </w:pPr>
      <w:r>
        <w:rPr>
          <w:rFonts w:eastAsia="Arial" w:cs="Arial" w:ascii="Arial Narrow" w:hAnsi="Arial Narrow"/>
          <w:sz w:val="26"/>
          <w:szCs w:val="26"/>
        </w:rPr>
        <w:t xml:space="preserve">Con esta línea de subvenciones se llevarían a cabo actuaciones de mejora y modernización de infraestructuras relacionadas </w:t>
      </w:r>
      <w:r>
        <w:rPr>
          <w:rFonts w:eastAsia="Arial" w:cs="Arial" w:ascii="Arial Narrow" w:hAnsi="Arial Narrow"/>
          <w:sz w:val="26"/>
          <w:szCs w:val="26"/>
        </w:rPr>
        <w:t xml:space="preserve">con </w:t>
      </w:r>
      <w:r>
        <w:rPr>
          <w:rFonts w:eastAsia="Arial" w:cs="Arial" w:ascii="Arial Narrow" w:hAnsi="Arial Narrow"/>
          <w:sz w:val="26"/>
          <w:szCs w:val="26"/>
        </w:rPr>
        <w:t xml:space="preserve">el sector, así como la promoción y dinamización del comercio minorista local. </w:t>
      </w:r>
      <w:r>
        <w:rPr>
          <w:rFonts w:eastAsia="Arial" w:cs="Arial" w:ascii="Arial Narrow" w:hAnsi="Arial Narrow"/>
          <w:b w:val="false"/>
          <w:bCs w:val="false"/>
          <w:sz w:val="26"/>
          <w:szCs w:val="26"/>
          <w:u w:val="none"/>
        </w:rPr>
        <w:t xml:space="preserve">Las iniciativas propuestas son dos: por un lado, una intervención de adaptación y  accesibilidad de los puestos destinados a la comercialización de frutas y verduras en el Mercado Central de Abastos, por importe de 12.100 euros; y por otro, la mejora del espacio del comercio ambulante o mercadillo, mediante la instalación de toldos, en la calle Adolfo Rodríguez Rivero, junto al Mercado Federico Mayo, por importe de </w:t>
      </w:r>
      <w:r>
        <w:rPr>
          <w:rFonts w:ascii="Arial Narrow" w:hAnsi="Arial Narrow"/>
          <w:b w:val="false"/>
          <w:bCs w:val="false"/>
          <w:i w:val="false"/>
          <w:sz w:val="26"/>
          <w:szCs w:val="26"/>
          <w:u w:val="none"/>
          <w:shd w:fill="auto" w:val="clear"/>
          <w:lang w:val="es-ES" w:eastAsia="zh-CN" w:bidi="hi-IN"/>
        </w:rPr>
        <w:t xml:space="preserve">18.150 euros. </w:t>
      </w:r>
    </w:p>
    <w:p>
      <w:pPr>
        <w:pStyle w:val="Normal"/>
        <w:spacing w:lineRule="auto" w:line="240" w:before="0" w:after="0"/>
        <w:jc w:val="both"/>
        <w:rPr>
          <w:rFonts w:ascii="Arial Narrow" w:hAnsi="Arial Narrow"/>
          <w:sz w:val="26"/>
          <w:szCs w:val="26"/>
        </w:rPr>
      </w:pPr>
      <w:r>
        <w:rPr>
          <w:rFonts w:eastAsia="Arial" w:cs="Arial" w:ascii="Arial Narrow" w:hAnsi="Arial Narrow"/>
          <w:b/>
          <w:bCs/>
          <w:sz w:val="26"/>
          <w:szCs w:val="26"/>
        </w:rPr>
        <w:t>Actuaciones línea 2</w:t>
      </w:r>
    </w:p>
    <w:p>
      <w:pPr>
        <w:pStyle w:val="Normal"/>
        <w:spacing w:lineRule="auto" w:line="240" w:before="0" w:after="0"/>
        <w:jc w:val="both"/>
        <w:rPr>
          <w:rFonts w:eastAsia="Arial" w:cs="Arial"/>
          <w:b/>
          <w:b/>
          <w:bCs/>
        </w:rPr>
      </w:pPr>
      <w:r>
        <w:rPr>
          <w:rFonts w:eastAsia="Arial" w:cs="Arial"/>
          <w:b/>
          <w:bCs/>
        </w:rPr>
      </w:r>
    </w:p>
    <w:p>
      <w:pPr>
        <w:pStyle w:val="Normal"/>
        <w:spacing w:lineRule="auto" w:line="240" w:before="0" w:after="0"/>
        <w:jc w:val="both"/>
        <w:rPr>
          <w:rFonts w:ascii="Arial Narrow" w:hAnsi="Arial Narrow"/>
          <w:sz w:val="26"/>
          <w:szCs w:val="26"/>
        </w:rPr>
      </w:pPr>
      <w:r>
        <w:rPr>
          <w:rFonts w:eastAsia="Arial" w:cs="Arial" w:ascii="Arial Narrow" w:hAnsi="Arial Narrow"/>
          <w:sz w:val="26"/>
          <w:szCs w:val="26"/>
        </w:rPr>
        <w:t xml:space="preserve">Dentro de esta línea de actuación se proponen tres actividades; en primer lugar, una campaña destinada a la dinamización del comercio local mediante el desarrollo de  medidas en materia de promoción de la actividad empresarial; de forma concreta, se trataría de la puesta en marcha de una campaña de publicidad institucional promocionando el consumo de productos de Jerez así como su adquisición en establecimientos de la ciudad, destacando la calidad de los mismos y el efecto multiplicador que su consumo tiene sobre la economía social. El importe asciende a 12.100 euros. </w:t>
      </w:r>
    </w:p>
    <w:p>
      <w:pPr>
        <w:pStyle w:val="Normal"/>
        <w:spacing w:lineRule="auto" w:line="240" w:before="0" w:after="0"/>
        <w:jc w:val="both"/>
        <w:rPr>
          <w:rFonts w:eastAsia="Arial" w:cs="Arial"/>
        </w:rPr>
      </w:pPr>
      <w:r>
        <w:rPr>
          <w:rFonts w:eastAsia="Arial" w:cs="Arial"/>
        </w:rPr>
      </w:r>
    </w:p>
    <w:p>
      <w:pPr>
        <w:pStyle w:val="Normal"/>
        <w:spacing w:lineRule="auto" w:line="240"/>
        <w:jc w:val="both"/>
        <w:rPr>
          <w:rFonts w:ascii="Arial Narrow" w:hAnsi="Arial Narrow"/>
          <w:sz w:val="26"/>
          <w:szCs w:val="26"/>
        </w:rPr>
      </w:pPr>
      <w:r>
        <w:rPr>
          <w:rFonts w:eastAsia="Arial" w:cs="Arial" w:ascii="Arial Narrow" w:hAnsi="Arial Narrow"/>
          <w:sz w:val="26"/>
          <w:szCs w:val="26"/>
        </w:rPr>
        <w:t>En segundo luga</w:t>
      </w:r>
      <w:r>
        <w:rPr>
          <w:rFonts w:eastAsia="Arial" w:cs="Arial" w:ascii="Arial Narrow" w:hAnsi="Arial Narrow"/>
          <w:sz w:val="26"/>
          <w:szCs w:val="26"/>
          <w:u w:val="none"/>
        </w:rPr>
        <w:t>r se ha incluido la ‘Noche Azul y Blanca’, que se enc</w:t>
      </w:r>
      <w:r>
        <w:rPr>
          <w:rFonts w:eastAsia="Arial" w:cs="Arial" w:ascii="Arial Narrow" w:hAnsi="Arial Narrow"/>
          <w:sz w:val="26"/>
          <w:szCs w:val="26"/>
        </w:rPr>
        <w:t xml:space="preserve">uadra en el calendario de actividades en torno a la celebración del Patrón de la ciudad, San Dionisio. La actividad se articula en varios espacios temáticos diferenciados, vertebrados fundamentalmente por la calle Larga, y tiene un importe de 18.150 euros. </w:t>
      </w:r>
    </w:p>
    <w:p>
      <w:pPr>
        <w:pStyle w:val="Normal"/>
        <w:spacing w:lineRule="auto" w:line="240"/>
        <w:jc w:val="both"/>
        <w:rPr>
          <w:rFonts w:ascii="Arial Narrow" w:hAnsi="Arial Narrow"/>
          <w:sz w:val="26"/>
          <w:szCs w:val="26"/>
        </w:rPr>
      </w:pPr>
      <w:r>
        <w:rPr>
          <w:rFonts w:eastAsia="Arial" w:cs="Arial" w:ascii="Arial Narrow" w:hAnsi="Arial Narrow"/>
          <w:sz w:val="26"/>
          <w:szCs w:val="26"/>
        </w:rPr>
        <w:t xml:space="preserve">Por último, la subvención se destinaría a la organización de un </w:t>
      </w:r>
      <w:r>
        <w:rPr>
          <w:rFonts w:eastAsia="Arial" w:cs="Arial" w:ascii="Arial Narrow" w:hAnsi="Arial Narrow"/>
          <w:sz w:val="26"/>
          <w:szCs w:val="26"/>
          <w:u w:val="none"/>
        </w:rPr>
        <w:t>desfile de baile infa</w:t>
      </w:r>
      <w:r>
        <w:rPr>
          <w:rFonts w:eastAsia="Arial" w:cs="Arial" w:ascii="Arial Narrow" w:hAnsi="Arial Narrow"/>
          <w:sz w:val="26"/>
          <w:szCs w:val="26"/>
        </w:rPr>
        <w:t xml:space="preserve">ntil-juvenil, de temática navideña, así como a la aportación de un tren infantil en colaboración con asociaciones de comerciantes. Igualmente se proponen otras acciones paralelas de dinamización en estas fiestas. Su importe se eleva a </w:t>
      </w:r>
      <w:r>
        <w:rPr>
          <w:rFonts w:eastAsia="Arial" w:cs="Arial" w:ascii="Arial Narrow" w:hAnsi="Arial Narrow"/>
          <w:sz w:val="26"/>
          <w:szCs w:val="26"/>
          <w:shd w:fill="auto" w:val="clear"/>
        </w:rPr>
        <w:t xml:space="preserve">12.100 euros. </w:t>
      </w:r>
    </w:p>
    <w:p>
      <w:pPr>
        <w:pStyle w:val="Normal"/>
        <w:spacing w:lineRule="auto" w:line="240" w:before="0" w:after="200"/>
        <w:jc w:val="both"/>
        <w:rPr>
          <w:rStyle w:val="Destacado"/>
          <w:rFonts w:ascii="Arial Narrow" w:hAnsi="Arial Narrow" w:eastAsia="Malgun Gothic" w:cs="Helvetica"/>
          <w:i w:val="false"/>
          <w:i w:val="false"/>
          <w:iCs w:val="false"/>
          <w:color w:val="2A6099"/>
          <w:kern w:val="0"/>
          <w:sz w:val="26"/>
          <w:szCs w:val="26"/>
          <w:lang w:val="es-ES" w:eastAsia="es-ES_tradnl"/>
        </w:rPr>
      </w:pPr>
      <w:r>
        <w:rPr/>
      </w:r>
    </w:p>
    <w:sectPr>
      <w:headerReference w:type="default" r:id="rId2"/>
      <w:footerReference w:type="default" r:id="rId3"/>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Humanst521 BT">
    <w:altName w:val="Lucida Sans Unicode"/>
    <w:charset w:val="00"/>
    <w:family w:val="roman"/>
    <w:pitch w:val="variable"/>
  </w:font>
  <w:font w:name="Liberation Serif">
    <w:altName w:val="Times New Roman"/>
    <w:charset w:val="00"/>
    <w:family w:val="swiss"/>
    <w:pitch w:val="variable"/>
  </w:font>
  <w:font w:name="Arial">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CG Times">
    <w:charset w:val="00"/>
    <w:family w:val="roman"/>
    <w:pitch w:val="variable"/>
  </w:font>
  <w:font w:name="Humanst521 Lt BT">
    <w:altName w:val="Bookman Old Style"/>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Tahoma">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60"/>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style w:type="paragraph" w:styleId="Normal">
    <w:name w:val="Normal"/>
    <w:qFormat/>
    <w:pPr>
      <w:widowControl/>
      <w:suppressAutoHyphens w:val="true"/>
      <w:overflowPunct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1">
    <w:name w:val="Heading 1"/>
    <w:basedOn w:val="Normal"/>
    <w:next w:val="Normal"/>
    <w:qFormat/>
    <w:pPr>
      <w:keepNext w:val="true"/>
      <w:outlineLvl w:val="0"/>
    </w:pPr>
    <w:rPr>
      <w:rFonts w:ascii="Humanst521 BT;Lucida Sans Unicode" w:hAnsi="Humanst521 BT;Lucida Sans Unicode" w:cs="Humanst521 BT;Lucida Sans Unicode"/>
      <w:b/>
      <w:sz w:val="28"/>
      <w:lang w:val="es-ES"/>
    </w:rPr>
  </w:style>
  <w:style w:type="paragraph" w:styleId="Ttulo2">
    <w:name w:val="Heading 2"/>
    <w:basedOn w:val="Normal"/>
    <w:qFormat/>
    <w:pPr>
      <w:spacing w:lineRule="auto" w:line="240" w:beforeAutospacing="1" w:afterAutospacing="1"/>
      <w:outlineLvl w:val="1"/>
    </w:pPr>
    <w:rPr>
      <w:rFonts w:ascii="Times New Roman" w:hAnsi="Times New Roman" w:eastAsia="Times New Roman" w:cs="Times New Roman"/>
      <w:b/>
      <w:bCs/>
      <w:sz w:val="36"/>
      <w:szCs w:val="36"/>
      <w:lang w:eastAsia="es-ES"/>
    </w:rPr>
  </w:style>
  <w:style w:type="paragraph" w:styleId="Ttulo3">
    <w:name w:val="Heading 3"/>
    <w:basedOn w:val="Ttulo"/>
    <w:next w:val="Cuerpodetexto"/>
    <w:qFormat/>
    <w:pPr>
      <w:spacing w:before="140" w:after="120"/>
      <w:outlineLvl w:val="2"/>
    </w:pPr>
    <w:rPr>
      <w:rFonts w:ascii="Liberation Serif" w:hAnsi="Liberation Serif" w:eastAsia="Segoe UI" w:cs="Tahoma"/>
      <w:b/>
      <w:bCs/>
      <w:sz w:val="28"/>
      <w:szCs w:val="28"/>
    </w:rPr>
  </w:style>
  <w:style w:type="paragraph" w:styleId="Ttulo4">
    <w:name w:val="Heading 4"/>
    <w:basedOn w:val="Normal"/>
    <w:next w:val="Normal"/>
    <w:qFormat/>
    <w:pPr>
      <w:keepNext w:val="true"/>
      <w:ind w:left="0" w:right="0" w:hanging="0"/>
      <w:jc w:val="both"/>
      <w:outlineLvl w:val="3"/>
    </w:pPr>
    <w:rPr>
      <w:rFonts w:ascii="Arial" w:hAnsi="Arial" w:cs="Arial"/>
      <w:b/>
      <w:bCs/>
      <w:sz w:val="24"/>
      <w:lang w:val="es-ES_tradnl"/>
    </w:rPr>
  </w:style>
  <w:style w:type="character" w:styleId="DefaultParagraphFont">
    <w:name w:val="Default Paragraph Font"/>
    <w:qFormat/>
    <w:rPr/>
  </w:style>
  <w:style w:type="character" w:styleId="WW8Num1z0">
    <w:name w:val="WW8Num1z0"/>
    <w:qFormat/>
    <w:rPr>
      <w:rFonts w:ascii="Wingdings" w:hAnsi="Wingdings" w:cs="OpenSymbol"/>
    </w:rPr>
  </w:style>
  <w:style w:type="character" w:styleId="WW8Num1z1">
    <w:name w:val="WW8Num1z1"/>
    <w:qFormat/>
    <w:rPr>
      <w:rFonts w:ascii="Symbol" w:hAnsi="Symbol" w:cs="Open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1">
    <w:name w:val="Fuente de párrafo predeter.1"/>
    <w:qFormat/>
    <w:rPr/>
  </w:style>
  <w:style w:type="character" w:styleId="EncabezadoCar">
    <w:name w:val="Encabezado Car"/>
    <w:basedOn w:val="Fuentedeprrafopredeter1"/>
    <w:qFormat/>
    <w:rPr/>
  </w:style>
  <w:style w:type="character" w:styleId="PiedepginaCar">
    <w:name w:val="Pie de página Car"/>
    <w:basedOn w:val="Fuentedeprrafopredeter1"/>
    <w:qFormat/>
    <w:rPr/>
  </w:style>
  <w:style w:type="character" w:styleId="EnlacedeInternet">
    <w:name w:val="Enlace de Internet"/>
    <w:rPr>
      <w:color w:val="0000FF"/>
      <w:u w:val="single"/>
    </w:rPr>
  </w:style>
  <w:style w:type="character" w:styleId="Smbolosdenumeracin">
    <w:name w:val="Símbolos de numeración"/>
    <w:qFormat/>
    <w:rPr/>
  </w:style>
  <w:style w:type="character" w:styleId="TextodegloboCar">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name w:val="Texto en negrita1"/>
    <w:basedOn w:val="Fuentedeprrafopredeter1"/>
    <w:qFormat/>
    <w:rPr>
      <w:b/>
      <w:bCs/>
    </w:rPr>
  </w:style>
  <w:style w:type="character" w:styleId="Vietas">
    <w:name w:val="Viñetas"/>
    <w:qFormat/>
    <w:rPr>
      <w:rFonts w:ascii="OpenSymbol" w:hAnsi="OpenSymbol" w:eastAsia="OpenSymbol" w:cs="OpenSymbol"/>
    </w:rPr>
  </w:style>
  <w:style w:type="character" w:styleId="TextodegloboCar1">
    <w:name w:val="Texto de globo Car1"/>
    <w:basedOn w:val="DefaultParagraphFont"/>
    <w:link w:val="BalloonText"/>
    <w:qFormat/>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Fuentedeprrafopredeter">
    <w:name w:val="Fuente de párrafo predeter."/>
    <w:qFormat/>
    <w:rPr/>
  </w:style>
  <w:style w:type="character" w:styleId="Destacado">
    <w:name w:val="Destacado"/>
    <w:qFormat/>
    <w:rPr>
      <w:i/>
      <w:iCs/>
    </w:rPr>
  </w:style>
  <w:style w:type="character" w:styleId="Bolos">
    <w:name w:val="Bolos"/>
    <w:qFormat/>
    <w:rPr>
      <w:rFonts w:ascii="OpenSymbol;Arial Unicode MS" w:hAnsi="OpenSymbol;Arial Unicode MS" w:eastAsia="OpenSymbol;Arial Unicode MS" w:cs="OpenSymbol;Arial Unicode MS"/>
    </w:rPr>
  </w:style>
  <w:style w:type="character" w:styleId="TtuloCar">
    <w:name w:val="Título Car"/>
    <w:qFormat/>
    <w:rPr>
      <w:rFonts w:ascii="CG Times" w:hAnsi="CG Times" w:eastAsia="Times New Roman" w:cs="CG Times"/>
      <w:sz w:val="24"/>
    </w:rPr>
  </w:style>
  <w:style w:type="character" w:styleId="TextoindependienteCar">
    <w:name w:val="Texto independiente Car"/>
    <w:qFormat/>
    <w:rPr>
      <w:rFonts w:ascii="Humanst521 Lt BT;Bookman Old Style" w:hAnsi="Humanst521 Lt BT;Bookman Old Style" w:eastAsia="Times New Roman" w:cs="Times New Roman"/>
      <w:sz w:val="28"/>
      <w:szCs w:val="20"/>
    </w:rPr>
  </w:style>
  <w:style w:type="character" w:styleId="Ttulo1Car">
    <w:name w:val="Título 1 Car"/>
    <w:qFormat/>
    <w:rPr>
      <w:rFonts w:ascii="Humanst521 BT;Lucida Sans Unicode" w:hAnsi="Humanst521 BT;Lucida Sans Unicode" w:eastAsia="Times New Roman" w:cs="Times New Roman"/>
      <w:b/>
      <w:sz w:val="28"/>
      <w:szCs w:val="20"/>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Ttulo2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name w:val="Encabezado 1"/>
    <w:basedOn w:val="Normal"/>
    <w:next w:val="Normal"/>
    <w:qFormat/>
    <w:pPr>
      <w:keepNext w:val="true"/>
      <w:jc w:val="right"/>
    </w:pPr>
    <w:rPr>
      <w:rFonts w:ascii="Arial" w:hAnsi="Arial" w:eastAsia="Times New Roman" w:cs="Arial"/>
      <w:b/>
      <w:bCs/>
    </w:rPr>
  </w:style>
  <w:style w:type="paragraph" w:styleId="Textodeglobo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qFormat/>
    <w:pPr>
      <w:spacing w:before="0" w:after="0"/>
    </w:pPr>
    <w:rPr>
      <w:rFonts w:ascii="Segoe UI" w:hAnsi="Segoe UI" w:cs="Segoe UI"/>
      <w:sz w:val="18"/>
      <w:szCs w:val="18"/>
    </w:rPr>
  </w:style>
  <w:style w:type="paragraph" w:styleId="Tablanormal3">
    <w:name w:val="Tabla normal3"/>
    <w:qFormat/>
    <w:pPr>
      <w:widowControl/>
      <w:suppressAutoHyphens w:val="true"/>
      <w:overflowPunct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overflowPunct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overflowPunct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overflowPunct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overflowPunct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overflowPunct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overflowPunct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overflowPunct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overflowPunct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1">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1">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paragraph" w:styleId="Encabezado21">
    <w:name w:val="Encabezado 2"/>
    <w:basedOn w:val="Normal"/>
    <w:next w:val="Normal"/>
    <w:qFormat/>
    <w:pPr>
      <w:keepNext w:val="true"/>
      <w:ind w:firstLine="709"/>
      <w:outlineLvl w:val="1"/>
    </w:pPr>
    <w:rPr>
      <w:b/>
      <w:sz w:val="24"/>
    </w:rPr>
  </w:style>
  <w:style w:type="paragraph" w:styleId="Normal1">
    <w:name w:val="Normal1"/>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es-ES" w:eastAsia="zh-CN" w:bidi="hi-IN"/>
    </w:rPr>
  </w:style>
  <w:style w:type="paragraph" w:styleId="ListParagraph">
    <w:name w:val="List Paragraph"/>
    <w:basedOn w:val="Normal"/>
    <w:qFormat/>
    <w:pPr>
      <w:spacing w:before="0" w:after="160"/>
      <w:ind w:left="720" w:hanging="0"/>
      <w:contextualSpacing/>
    </w:pPr>
    <w:rPr/>
  </w:style>
  <w:style w:type="paragraph" w:styleId="PlainText">
    <w:name w:val="Plain Text"/>
    <w:basedOn w:val="Normal"/>
    <w:qFormat/>
    <w:pPr/>
    <w:rPr>
      <w:rFonts w:ascii="Consolas" w:hAnsi="Consolas" w:eastAsia="Calibri" w:cs="Consolas"/>
      <w:sz w:val="21"/>
      <w:szCs w:val="21"/>
    </w:rPr>
  </w:style>
  <w:style w:type="paragraph" w:styleId="Standard1">
    <w:name w:val="Standard1"/>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en-US" w:eastAsia="zh-CN" w:bidi="ar-SA"/>
    </w:rPr>
  </w:style>
  <w:style w:type="paragraph" w:styleId="Cuerpodetextoconsangra">
    <w:name w:val="Body Text Indent"/>
    <w:basedOn w:val="Normal"/>
    <w:pPr>
      <w:tabs>
        <w:tab w:val="clear" w:pos="708"/>
        <w:tab w:val="left" w:pos="0" w:leader="none"/>
      </w:tabs>
      <w:suppressAutoHyphens w:val="true"/>
      <w:ind w:left="0" w:right="0" w:firstLine="567"/>
      <w:jc w:val="both"/>
    </w:pPr>
    <w:rPr>
      <w:rFonts w:ascii="Arial" w:hAnsi="Arial" w:cs="Arial"/>
      <w:spacing w:val="-2"/>
      <w:sz w:val="24"/>
      <w:lang w:val="es-ES"/>
    </w:rPr>
  </w:style>
  <w:style w:type="paragraph" w:styleId="Contenidodelmarco">
    <w:name w:val="Contenido del marco"/>
    <w:basedOn w:val="Normal"/>
    <w:qFormat/>
    <w:pPr/>
    <w:rPr/>
  </w:style>
  <w:style w:type="paragraph" w:styleId="Prrafodelista">
    <w:name w:val="Párrafo de lista"/>
    <w:basedOn w:val="Normal"/>
    <w:qFormat/>
    <w:pPr>
      <w:ind w:left="708" w:right="0" w:hanging="0"/>
    </w:pPr>
    <w:rPr/>
  </w:style>
  <w:style w:type="paragraph" w:styleId="Textodeglobo">
    <w:name w:val="Texto de globo"/>
    <w:basedOn w:val="Normal"/>
    <w:qFormat/>
    <w:pPr/>
    <w:rPr>
      <w:rFonts w:ascii="Tahoma" w:hAnsi="Tahoma" w:cs="Tahoma"/>
      <w:sz w:val="16"/>
      <w:szCs w:val="16"/>
    </w:rPr>
  </w:style>
  <w:style w:type="paragraph" w:styleId="Caption111111">
    <w:name w:val="Caption111111"/>
    <w:basedOn w:val="Normal"/>
    <w:qFormat/>
    <w:pPr>
      <w:suppressLineNumbers/>
      <w:spacing w:before="120" w:after="120"/>
    </w:pPr>
    <w:rPr>
      <w:rFonts w:cs="Mangal"/>
      <w:i/>
      <w:iCs/>
      <w:sz w:val="24"/>
      <w:szCs w:val="24"/>
    </w:rPr>
  </w:style>
  <w:style w:type="paragraph" w:styleId="Caption11111">
    <w:name w:val="Caption11111"/>
    <w:basedOn w:val="Normal"/>
    <w:qFormat/>
    <w:pPr>
      <w:suppressLineNumbers/>
      <w:spacing w:before="120" w:after="120"/>
    </w:pPr>
    <w:rPr>
      <w:rFonts w:cs="Arial"/>
      <w:i/>
      <w:iCs/>
      <w:sz w:val="24"/>
      <w:szCs w:val="24"/>
    </w:rPr>
  </w:style>
  <w:style w:type="paragraph" w:styleId="Caption1111">
    <w:name w:val="Caption1111"/>
    <w:basedOn w:val="Normal"/>
    <w:qFormat/>
    <w:pPr>
      <w:suppressLineNumbers/>
      <w:spacing w:before="120" w:after="120"/>
    </w:pPr>
    <w:rPr>
      <w:rFonts w:cs="Arial"/>
      <w:i/>
      <w:iCs/>
      <w:sz w:val="24"/>
      <w:szCs w:val="24"/>
    </w:rPr>
  </w:style>
  <w:style w:type="paragraph" w:styleId="Caption111">
    <w:name w:val="Caption111"/>
    <w:basedOn w:val="Normal"/>
    <w:qFormat/>
    <w:pPr>
      <w:suppressLineNumbers/>
      <w:spacing w:before="120" w:after="120"/>
    </w:pPr>
    <w:rPr>
      <w:rFonts w:cs="Arial"/>
      <w:i/>
      <w:iCs/>
      <w:sz w:val="24"/>
      <w:szCs w:val="24"/>
    </w:rPr>
  </w:style>
  <w:style w:type="paragraph" w:styleId="Caption112">
    <w:name w:val="Caption112"/>
    <w:basedOn w:val="Normal"/>
    <w:qFormat/>
    <w:pPr>
      <w:suppressLineNumbers/>
      <w:spacing w:before="120" w:after="120"/>
    </w:pPr>
    <w:rPr>
      <w:rFonts w:cs="Arial"/>
      <w:i/>
      <w:iCs/>
      <w:sz w:val="24"/>
      <w:szCs w:val="24"/>
    </w:rPr>
  </w:style>
  <w:style w:type="paragraph" w:styleId="Caption13">
    <w:name w:val="Caption13"/>
    <w:basedOn w:val="Normal"/>
    <w:qFormat/>
    <w:pPr>
      <w:suppressLineNumbers/>
      <w:spacing w:before="120" w:after="120"/>
    </w:pPr>
    <w:rPr>
      <w:rFonts w:cs="Arial"/>
      <w:i/>
      <w:iCs/>
      <w:sz w:val="24"/>
      <w:szCs w:val="24"/>
    </w:rPr>
  </w:style>
  <w:style w:type="paragraph" w:styleId="Descripcin">
    <w:name w:val="Descripción"/>
    <w:basedOn w:val="Normal"/>
    <w:qFormat/>
    <w:pPr>
      <w:suppressLineNumbers/>
      <w:spacing w:before="120" w:after="120"/>
    </w:pPr>
    <w:rPr>
      <w:rFonts w:cs="Arial"/>
      <w:i/>
      <w:iCs/>
      <w:sz w:val="24"/>
      <w:szCs w:val="24"/>
    </w:rPr>
  </w:style>
  <w:style w:type="paragraph" w:styleId="Caption2">
    <w:name w:val="Caption2"/>
    <w:basedOn w:val="Normal"/>
    <w:qFormat/>
    <w:pPr>
      <w:suppressLineNumbers/>
      <w:spacing w:before="120" w:after="120"/>
    </w:pPr>
    <w:rPr>
      <w:rFonts w:cs="Arial"/>
      <w:i/>
      <w:iCs/>
      <w:sz w:val="24"/>
      <w:szCs w:val="24"/>
    </w:rPr>
  </w:style>
  <w:style w:type="numbering" w:styleId="Ningunalista">
    <w:name w:val="Ninguna lista"/>
    <w:qFormat/>
  </w:style>
  <w:style w:type="numbering" w:styleId="WW8Num2">
    <w:name w:val="WW8Num2"/>
    <w:qFormat/>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462</TotalTime>
  <Application>LibreOffice/7.3.6.2$Windows_X86_64 LibreOffice_project/c28ca90fd6e1a19e189fc16c05f8f8924961e12e</Application>
  <AppVersion>15.0000</AppVersion>
  <Pages>2</Pages>
  <Words>562</Words>
  <Characters>2982</Characters>
  <CharactersWithSpaces>3545</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José María Vega Soto</dc:creator>
  <dc:description/>
  <dc:language>es-ES</dc:language>
  <cp:lastModifiedBy/>
  <dcterms:modified xsi:type="dcterms:W3CDTF">2025-05-10T10:34:28Z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