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9"/>
          <w:szCs w:val="39"/>
        </w:rPr>
      </w:pPr>
      <w:r>
        <w:rPr>
          <w:rFonts w:eastAsia="NSimSun" w:cs="Alef" w:ascii="Arial Narrow" w:hAnsi="Arial Narrow"/>
          <w:b/>
          <w:bCs/>
          <w:color w:val="000000"/>
          <w:spacing w:val="-2"/>
          <w:sz w:val="39"/>
          <w:szCs w:val="39"/>
          <w:lang w:bidi="hi-IN"/>
        </w:rPr>
        <w:t>La adjudicación de las fincas de Taxdirt 26 y 28 eleva a 142 las viviendas resultantes de las siete ventas forzosas culminadas en los últimos dos años en el centro histórico</w:t>
      </w:r>
    </w:p>
    <w:p>
      <w:pPr>
        <w:pStyle w:val="Normal"/>
        <w:jc w:val="both"/>
        <w:rPr>
          <w:color w:val="auto"/>
        </w:rPr>
      </w:pPr>
      <w:r>
        <w:rPr>
          <w:rFonts w:eastAsia="Malgun Gothic" w:cs="Helvetica" w:ascii="Arial Narrow" w:hAnsi="Arial Narrow"/>
          <w:b/>
          <w:bCs/>
          <w:color w:val="auto"/>
          <w:sz w:val="26"/>
          <w:szCs w:val="26"/>
          <w:lang w:eastAsia="es-ES_tradnl"/>
        </w:rPr>
        <w:t>23 de mayo de 2025</w:t>
      </w:r>
      <w:r>
        <w:rPr>
          <w:rFonts w:eastAsia="Malgun Gothic" w:cs="Helvetica" w:ascii="Arial Narrow" w:hAnsi="Arial Narrow"/>
          <w:color w:val="auto"/>
          <w:sz w:val="26"/>
          <w:szCs w:val="26"/>
          <w:lang w:eastAsia="es-ES_tradnl"/>
        </w:rPr>
        <w:t xml:space="preserve">. Dos semanas después de aceptar la oferta recibida por parte de la entidad Promotora Social San Fernando S.L.U, para adquirir la venta forzosa de los inmuebles de la calle Taxdirt 26 y 28, la Junta de Gobierno Local ha aprobado la adjudicación definitiva de ambos a la citada empresa, que incluyó en su propuesta la intención de destinarlas a la construcción de un total de 56 viviendas entre ambas fincas. </w:t>
      </w:r>
    </w:p>
    <w:p>
      <w:pPr>
        <w:pStyle w:val="Normal"/>
        <w:jc w:val="both"/>
        <w:rPr>
          <w:color w:val="auto"/>
        </w:rPr>
      </w:pPr>
      <w:r>
        <w:rPr>
          <w:rFonts w:eastAsia="Malgun Gothic" w:cs="Helvetica" w:ascii="Arial Narrow" w:hAnsi="Arial Narrow"/>
          <w:color w:val="auto"/>
          <w:sz w:val="26"/>
          <w:szCs w:val="26"/>
          <w:lang w:eastAsia="es-ES_tradnl"/>
        </w:rPr>
        <w:t xml:space="preserve">Tal y como ya se avanzó, el edificio de Taxdirt 26 se adjudica por importe de 85.000 euros (su precio de salida fue de 44.313,23 euros) mientras que la de Taxdirt 28 se adjudica por 590.000 euros (se ofertó inicialmente por valor de 260.207,19 euros). En la primera se construirán 6 viviendas y en la segunda 50. </w:t>
      </w:r>
    </w:p>
    <w:p>
      <w:pPr>
        <w:pStyle w:val="Normal"/>
        <w:jc w:val="both"/>
        <w:rPr>
          <w:color w:val="auto"/>
        </w:rPr>
      </w:pPr>
      <w:r>
        <w:rPr>
          <w:rFonts w:eastAsia="Malgun Gothic" w:cs="Helvetica" w:ascii="Arial Narrow" w:hAnsi="Arial Narrow"/>
          <w:color w:val="auto"/>
          <w:sz w:val="26"/>
          <w:szCs w:val="26"/>
          <w:lang w:eastAsia="es-ES_tradnl"/>
        </w:rPr>
        <w:t xml:space="preserve">Con esta venta ya son siete los expedientes de venta forzosa finalizados en la presente legislatura, según ha recordado el primer teniente de alcaldesa, Agustín Muñoz, subrayando que la puesta en el mercado de estos inmuebles “tendrá como resultado la construcción de un total de 142 viviendas en distintos puntos del centro histórico -según las propuestas presentadas por sus respectivos adjudicatarios- lo que denota las oportunidades que ofrece esta zona para la inversión residencial y el buen posicionamiento que tiene Jerez dentro del mercado inmobiliario a nivel provincial”. </w:t>
      </w:r>
    </w:p>
    <w:p>
      <w:pPr>
        <w:pStyle w:val="Normal"/>
        <w:jc w:val="both"/>
        <w:rPr/>
      </w:pPr>
      <w:r>
        <w:rPr>
          <w:rFonts w:eastAsia="Malgun Gothic" w:cs="Helvetica" w:ascii="Arial Narrow" w:hAnsi="Arial Narrow"/>
          <w:color w:val="auto"/>
          <w:sz w:val="26"/>
          <w:szCs w:val="26"/>
          <w:lang w:eastAsia="es-ES_tradnl"/>
        </w:rPr>
        <w:t xml:space="preserve">Las fincas licitadas, a las que se suman las dos de Taxdirt, se sitúan en las siguientes calles: </w:t>
      </w:r>
      <w:r>
        <w:rPr>
          <w:rStyle w:val="Textoennegrita1"/>
          <w:rFonts w:eastAsia="Calibri" w:cs="Arial" w:ascii="Arial Narrow" w:hAnsi="Arial Narrow"/>
          <w:b w:val="false"/>
          <w:bCs w:val="false"/>
          <w:color w:val="auto"/>
          <w:sz w:val="26"/>
          <w:szCs w:val="26"/>
          <w:lang w:eastAsia="es-ES_tradnl"/>
        </w:rPr>
        <w:t>Naranjas 6,</w:t>
      </w:r>
      <w:bookmarkStart w:id="0" w:name="_GoBack_Copia_1"/>
      <w:bookmarkEnd w:id="0"/>
      <w:r>
        <w:rPr>
          <w:rStyle w:val="Textoennegrita1"/>
          <w:rFonts w:eastAsia="Calibri" w:cs="Arial" w:ascii="Arial Narrow" w:hAnsi="Arial Narrow"/>
          <w:b w:val="false"/>
          <w:bCs w:val="false"/>
          <w:color w:val="auto"/>
          <w:sz w:val="26"/>
          <w:szCs w:val="26"/>
          <w:lang w:eastAsia="es-ES_tradnl"/>
        </w:rPr>
        <w:t xml:space="preserve"> a</w:t>
      </w:r>
      <w:r>
        <w:rPr>
          <w:rStyle w:val="Textoennegrita1"/>
          <w:rFonts w:eastAsia="Calibri" w:cs="Segoe UI Semilight" w:ascii="Arial Narrow" w:hAnsi="Arial Narrow"/>
          <w:b w:val="false"/>
          <w:color w:val="auto"/>
          <w:sz w:val="26"/>
          <w:szCs w:val="26"/>
          <w:lang w:val="es-ES_tradnl" w:eastAsia="es-ES_tradnl"/>
        </w:rPr>
        <w:t xml:space="preserve">djudicada por importe de </w:t>
      </w:r>
      <w:r>
        <w:rPr>
          <w:rStyle w:val="Fuentedeprrafopredeter1"/>
          <w:rFonts w:eastAsia="Calibri" w:cs="Segoe UI Semilight" w:ascii="Arial Narrow" w:hAnsi="Arial Narrow"/>
          <w:color w:val="auto"/>
          <w:sz w:val="26"/>
          <w:szCs w:val="26"/>
          <w:lang w:val="es-ES_tradnl" w:eastAsia="es-ES_tradnl"/>
        </w:rPr>
        <w:t xml:space="preserve">161.105 euros (10 viviendas); Porvenir 32, adjudicada por </w:t>
      </w:r>
      <w:r>
        <w:rPr>
          <w:rStyle w:val="Textoennegrita1"/>
          <w:rFonts w:eastAsia="Calibri" w:cs="Segoe UI Semilight" w:ascii="Arial Narrow" w:hAnsi="Arial Narrow"/>
          <w:b w:val="false"/>
          <w:color w:val="auto"/>
          <w:sz w:val="26"/>
          <w:szCs w:val="26"/>
          <w:lang w:val="es-ES_tradnl" w:eastAsia="es-ES_tradnl"/>
        </w:rPr>
        <w:t xml:space="preserve">97.555 euros (7 viviendas); Morla y Plaza Cocheras, adjudicadas de forma conjunta por valor de 115.005 euros, (18 viviendas); </w:t>
      </w:r>
      <w:r>
        <w:rPr>
          <w:rStyle w:val="Textoennegrita1"/>
          <w:rFonts w:eastAsia="Calibri" w:cs="Arial" w:ascii="Arial Narrow" w:hAnsi="Arial Narrow"/>
          <w:b w:val="false"/>
          <w:color w:val="auto"/>
          <w:sz w:val="26"/>
          <w:szCs w:val="26"/>
          <w:lang w:val="es-ES_tradnl" w:eastAsia="es-ES_tradnl"/>
        </w:rPr>
        <w:t xml:space="preserve">Doña Felipa 6, adjudicada por 120.310 euros; Juan de Torres 12 (90.300 euros y 7 viviendas); y Cazón 11 (420.000 euros y 44 viviendas). </w:t>
      </w:r>
    </w:p>
    <w:p>
      <w:pPr>
        <w:pStyle w:val="Normal"/>
        <w:jc w:val="both"/>
        <w:rPr>
          <w:color w:val="auto"/>
        </w:rPr>
      </w:pPr>
      <w:r>
        <w:rPr>
          <w:rFonts w:ascii="Arial Narrow" w:hAnsi="Arial Narrow"/>
          <w:color w:val="auto"/>
          <w:sz w:val="26"/>
          <w:szCs w:val="26"/>
        </w:rPr>
        <w:t xml:space="preserve">Cabe recordar que, según la normativa vigente, las cantidades ofertadas por los interesados que superen el tipo de licitación son destinadas al Patrimonio Municipal del Suelo, entre cuyos fines se encuentran la financiación de actuaciones para </w:t>
      </w:r>
      <w:r>
        <w:rPr>
          <w:rFonts w:eastAsia="Calibri" w:cs="Arial" w:ascii="Arial Narrow" w:hAnsi="Arial Narrow"/>
          <w:color w:val="auto"/>
          <w:spacing w:val="-3"/>
          <w:sz w:val="26"/>
          <w:szCs w:val="26"/>
        </w:rPr>
        <w:t>la mejora, conservación, mantenimiento y rehabilitación de la ciudad y la conservación de las edificaciones.</w:t>
      </w:r>
    </w:p>
    <w:p>
      <w:pPr>
        <w:pStyle w:val="Normal"/>
        <w:jc w:val="both"/>
        <w:rPr>
          <w:rFonts w:ascii="Arial Narrow" w:hAnsi="Arial Narrow" w:cs="Arial"/>
          <w:color w:val="auto"/>
          <w:spacing w:val="-3"/>
          <w:sz w:val="26"/>
          <w:szCs w:val="26"/>
        </w:rPr>
      </w:pPr>
      <w:r>
        <w:rPr>
          <w:rFonts w:ascii="Arial Narrow" w:hAnsi="Arial Narrow"/>
          <w:color w:val="auto"/>
          <w:sz w:val="26"/>
          <w:szCs w:val="26"/>
        </w:rPr>
        <w:t>La finca de Taxdirt 26 contempla una superficie de parcela de 237 metros cuadrados y</w:t>
      </w:r>
      <w:r>
        <w:rPr>
          <w:rFonts w:cs="Arial" w:ascii="Arial Narrow" w:hAnsi="Arial Narrow"/>
          <w:color w:val="auto"/>
          <w:sz w:val="26"/>
          <w:szCs w:val="26"/>
        </w:rPr>
        <w:t xml:space="preserve"> cuenta con un edificio de una planta de altura de 228 metros cuadrados; su construcción data del año 1950 al igual que la del número 28, cuya superficie asciende a 2.005 metros cuadrados, parte de los cuales están ocupados por una edificación tipo palacete jerezano, al que se suman</w:t>
      </w:r>
      <w:r>
        <w:rPr>
          <w:rFonts w:cs="Arial" w:ascii="Arial Narrow" w:hAnsi="Arial Narrow"/>
          <w:color w:val="auto"/>
          <w:spacing w:val="-3"/>
          <w:sz w:val="26"/>
          <w:szCs w:val="26"/>
        </w:rPr>
        <w:t xml:space="preserve"> tres construcciones auxiliares, encontrándose ambas fincas en estado de abandono.</w:t>
      </w:r>
    </w:p>
    <w:p>
      <w:pPr>
        <w:pStyle w:val="Normal"/>
        <w:jc w:val="both"/>
        <w:rPr>
          <w:rFonts w:ascii="Arial Narrow" w:hAnsi="Arial Narrow" w:eastAsia="Times New Roman"/>
          <w:color w:val="auto"/>
          <w:sz w:val="26"/>
          <w:szCs w:val="26"/>
          <w:lang w:eastAsia="es-ES_tradnl"/>
        </w:rPr>
      </w:pPr>
      <w:r>
        <w:rPr>
          <w:rFonts w:ascii="Arial Narrow" w:hAnsi="Arial Narrow"/>
          <w:color w:val="auto"/>
          <w:sz w:val="26"/>
          <w:szCs w:val="26"/>
        </w:rPr>
        <w:t>Cabe recordar que, como anunció recientemente la alcaldesa, María José García-Pelayo, el Ayuntamiento incluirá como nuevo criterio en las próximas adjudicaciones de venta forzosa de fincas</w:t>
      </w:r>
      <w:r>
        <w:rPr>
          <w:rFonts w:eastAsia="Times New Roman" w:ascii="Arial Narrow" w:hAnsi="Arial Narrow"/>
          <w:color w:val="auto"/>
          <w:sz w:val="26"/>
          <w:szCs w:val="26"/>
          <w:lang w:eastAsia="es-ES_tradnl"/>
        </w:rPr>
        <w:t xml:space="preserve"> del Registro Municipal de Solares y Edificaciones Ruinosas la construcción de vivienda protegida por parte del adjudicatario, otorgando a las ofertas que se comprometan a este fin una mayor puntuación en la adjudicación de la finca objeto de licitación. Este criterio de valoración se sumará a otros igualmente novedosos que se vienen aplicando desde la presente legislatura, consistentes en destinar la futura edificación de la finca al uso residencial, así como el de mayor número de viviendas de al menos dos dormitorios.</w:t>
      </w:r>
    </w:p>
    <w:p>
      <w:pPr>
        <w:pStyle w:val="Normal"/>
        <w:spacing w:before="0" w:after="200"/>
        <w:jc w:val="both"/>
        <w:rPr>
          <w:color w:val="auto"/>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Humanst521 BT">
    <w:altName w:val="Lucida Sans Unico"/>
    <w:charset w:val="00"/>
    <w:family w:val="roman"/>
    <w:pitch w:val="variable"/>
  </w:font>
  <w:font w:name="Liberation Serif">
    <w:altName w:val="Times New Roman"/>
    <w:charset w:val="00"/>
    <w:family w:val="swiss"/>
    <w:pitch w:val="variable"/>
  </w:font>
  <w:font w:name="Arial">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CG Times">
    <w:charset w:val="00"/>
    <w:family w:val="roman"/>
    <w:pitch w:val="variable"/>
  </w:font>
  <w:font w:name="Humanst521 Lt BT">
    <w:altName w:val="Bookman Old St"/>
    <w:charset w:val="00"/>
    <w:family w:val="roman"/>
    <w:pitch w:val="variable"/>
  </w:font>
  <w:font w:name="Univers">
    <w:altName w:val="Arial"/>
    <w:charset w:val="00"/>
    <w:family w:val="roman"/>
    <w:pitch w:val="variable"/>
  </w:font>
  <w:font w:name="Consola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90"/>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1">
    <w:name w:val="Heading 1"/>
    <w:basedOn w:val="Normal"/>
    <w:next w:val="Normal"/>
    <w:qFormat/>
    <w:pPr>
      <w:keepNext w:val="true"/>
      <w:outlineLvl w:val="0"/>
    </w:pPr>
    <w:rPr>
      <w:rFonts w:ascii="Humanst521 BT;Lucida Sans Unico" w:hAnsi="Humanst521 BT;Lucida Sans Unico" w:cs="Humanst521 BT;Lucida Sans Unico"/>
      <w:b/>
      <w:sz w:val="28"/>
    </w:rPr>
  </w:style>
  <w:style w:type="paragraph" w:styleId="Ttulo2">
    <w:name w:val="Heading 2"/>
    <w:basedOn w:val="Normal"/>
    <w:qFormat/>
    <w:pPr>
      <w:spacing w:beforeAutospacing="1" w:afterAutospacing="1"/>
      <w:outlineLvl w:val="1"/>
    </w:pPr>
    <w:rPr>
      <w:rFonts w:ascii="Times New Roman" w:hAnsi="Times New Roman" w:eastAsia="Times New Roman"/>
      <w:b/>
      <w:bCs/>
      <w:sz w:val="36"/>
      <w:szCs w:val="36"/>
      <w:lang w:eastAsia="es-ES"/>
    </w:rPr>
  </w:style>
  <w:style w:type="paragraph" w:styleId="Ttulo3">
    <w:name w:val="Heading 3"/>
    <w:basedOn w:val="Ttulo11"/>
    <w:next w:val="Cuerpodetexto"/>
    <w:qFormat/>
    <w:pPr>
      <w:spacing w:before="140" w:after="120"/>
      <w:outlineLvl w:val="2"/>
    </w:pPr>
    <w:rPr>
      <w:rFonts w:ascii="Liberation Serif" w:hAnsi="Liberation Serif" w:eastAsia="Segoe UI" w:cs="Tahoma"/>
      <w:b/>
      <w:bCs/>
    </w:rPr>
  </w:style>
  <w:style w:type="paragraph" w:styleId="Ttulo4">
    <w:name w:val="Heading 4"/>
    <w:basedOn w:val="Normal"/>
    <w:next w:val="Normal"/>
    <w:qFormat/>
    <w:pPr>
      <w:keepNext w:val="true"/>
      <w:jc w:val="both"/>
      <w:outlineLvl w:val="3"/>
    </w:pPr>
    <w:rPr>
      <w:rFonts w:ascii="Arial" w:hAnsi="Arial" w:cs="Arial"/>
      <w:b/>
      <w:bCs/>
      <w:lang w:val="es-ES_tradnl"/>
    </w:rPr>
  </w:style>
  <w:style w:type="paragraph" w:styleId="Ttulo5">
    <w:name w:val="Heading 5"/>
    <w:basedOn w:val="Normal"/>
    <w:next w:val="Normal"/>
    <w:qFormat/>
    <w:pPr>
      <w:keepNext w:val="true"/>
      <w:keepLines/>
      <w:spacing w:before="40" w:after="0"/>
      <w:outlineLvl w:val="4"/>
    </w:pPr>
    <w:rPr>
      <w:rFonts w:ascii="Calibri Light" w:hAnsi="Calibri Light" w:eastAsia="Times New Roman"/>
      <w:color w:val="117A02"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Destacado">
    <w:name w:val="Destacado"/>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TtuloCar" w:customStyle="1">
    <w:name w:val="Título Car"/>
    <w:qFormat/>
    <w:rPr>
      <w:rFonts w:ascii="CG Times" w:hAnsi="CG Times" w:eastAsia="Times New Roman" w:cs="CG Times"/>
      <w:sz w:val="24"/>
    </w:rPr>
  </w:style>
  <w:style w:type="character" w:styleId="TextoindependienteCar" w:customStyle="1">
    <w:name w:val="Texto independiente Car"/>
    <w:qFormat/>
    <w:rPr>
      <w:rFonts w:ascii="Humanst521 Lt BT;Bookman Old St" w:hAnsi="Humanst521 Lt BT;Bookman Old St" w:eastAsia="Times New Roman" w:cs="Times New Roman"/>
      <w:sz w:val="28"/>
      <w:szCs w:val="20"/>
    </w:rPr>
  </w:style>
  <w:style w:type="character" w:styleId="Ttulo1Car" w:customStyle="1">
    <w:name w:val="Título 1 Car"/>
    <w:qFormat/>
    <w:rPr>
      <w:rFonts w:ascii="Humanst521 BT;Lucida Sans Unico" w:hAnsi="Humanst521 BT;Lucida Sans Unico" w:eastAsia="Times New Roman" w:cs="Times New Roman"/>
      <w:b/>
      <w:sz w:val="28"/>
      <w:szCs w:val="20"/>
    </w:rPr>
  </w:style>
  <w:style w:type="character" w:styleId="Ttulo2Car" w:customStyle="1">
    <w:name w:val="Título 2 Car"/>
    <w:basedOn w:val="DefaultParagraphFont"/>
    <w:qFormat/>
    <w:rPr>
      <w:rFonts w:ascii="Cambria" w:hAnsi="Cambria" w:eastAsia="Times New Roman" w:cs="Times New Roman"/>
      <w:b/>
      <w:bCs/>
      <w:i/>
      <w:iCs/>
      <w:sz w:val="28"/>
      <w:szCs w:val="28"/>
    </w:rPr>
  </w:style>
  <w:style w:type="character" w:styleId="Sangra2detindependienteCar" w:customStyle="1">
    <w:name w:val="Sangría 2 de t. independiente Car"/>
    <w:basedOn w:val="DefaultParagraphFont"/>
    <w:qFormat/>
    <w:rPr>
      <w:rFonts w:ascii="Univers;Arial" w:hAnsi="Univers;Arial" w:eastAsia="Times New Roman" w:cs="Univers;Arial"/>
      <w:spacing w:val="0"/>
      <w:sz w:val="24"/>
      <w:lang w:val="es-ES"/>
    </w:rPr>
  </w:style>
  <w:style w:type="character" w:styleId="TextosinformatoCar" w:customStyle="1">
    <w:name w:val="Texto sin formato Car"/>
    <w:basedOn w:val="DefaultParagraphFont"/>
    <w:qFormat/>
    <w:rPr>
      <w:rFonts w:ascii="Consolas" w:hAnsi="Consolas" w:eastAsia="Calibri" w:cs="Times New Roman"/>
      <w:sz w:val="21"/>
      <w:szCs w:val="21"/>
    </w:rPr>
  </w:style>
  <w:style w:type="character" w:styleId="SinespaciadoCar" w:customStyle="1">
    <w:name w:val="Sin espaciado Car"/>
    <w:basedOn w:val="DefaultParagraphFont"/>
    <w:qFormat/>
    <w:rPr>
      <w:rFonts w:ascii="Times New Roman" w:hAnsi="Times New Roman" w:eastAsia="Times New Roman" w:cs="Times New Roman"/>
      <w:sz w:val="24"/>
      <w:szCs w:val="24"/>
      <w:lang w:val="es-ES" w:bidi="ar-SA"/>
    </w:rPr>
  </w:style>
  <w:style w:type="character" w:styleId="Ttulo5Car" w:customStyle="1">
    <w:name w:val="Título 5 Car"/>
    <w:basedOn w:val="DefaultParagraphFont"/>
    <w:qFormat/>
    <w:rPr>
      <w:rFonts w:ascii="Calibri" w:hAnsi="Calibri" w:eastAsia="Calibri" w:cs="Calibri"/>
      <w:b/>
      <w:bCs/>
      <w:i/>
      <w:iCs/>
      <w:sz w:val="26"/>
      <w:szCs w:val="26"/>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9z2" w:customStyle="1">
    <w:name w:val="WW8Num19z2"/>
    <w:qFormat/>
    <w:rPr/>
  </w:style>
  <w:style w:type="character" w:styleId="WW8Num19z1" w:customStyle="1">
    <w:name w:val="WW8Num19z1"/>
    <w:qFormat/>
    <w:rPr/>
  </w:style>
  <w:style w:type="character" w:styleId="WW8Num19z0" w:customStyle="1">
    <w:name w:val="WW8Num19z0"/>
    <w:qFormat/>
    <w:rPr>
      <w:rFonts w:ascii="Times New Roman" w:hAnsi="Times New Roman" w:cs="Times New Roman"/>
      <w:bCs/>
      <w:sz w:val="24"/>
      <w:szCs w:val="24"/>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18z2" w:customStyle="1">
    <w:name w:val="WW8Num18z2"/>
    <w:qFormat/>
    <w:rPr/>
  </w:style>
  <w:style w:type="character" w:styleId="WW8Num18z1" w:customStyle="1">
    <w:name w:val="WW8Num18z1"/>
    <w:qFormat/>
    <w:rPr/>
  </w:style>
  <w:style w:type="character" w:styleId="WW8Num18z0" w:customStyle="1">
    <w:name w:val="WW8Num18z0"/>
    <w:qFormat/>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Caracteresdenotaalpie" w:customStyle="1">
    <w:name w:val="Caracteres de nota al pie"/>
    <w:qFormat/>
    <w:rPr>
      <w:vertAlign w:val="superscript"/>
    </w:rPr>
  </w:style>
  <w:style w:type="character" w:styleId="Ancladenotaalpie">
    <w:name w:val="Ancla de nota al pie"/>
    <w:rPr>
      <w:vertAlign w:val="superscript"/>
    </w:rPr>
  </w:style>
  <w:style w:type="character" w:styleId="FootnoteCharacters">
    <w:name w:val="Footnote Characters"/>
    <w:qFormat/>
    <w:rPr>
      <w:vertAlign w:val="superscript"/>
    </w:rPr>
  </w:style>
  <w:style w:type="character" w:styleId="TextonotapieCar" w:customStyle="1">
    <w:name w:val="Texto nota pi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Caracteresdenotafinal" w:customStyle="1">
    <w:name w:val="Caracteres de nota final"/>
    <w:qFormat/>
    <w:rPr>
      <w:vertAlign w:val="superscript"/>
    </w:rPr>
  </w:style>
  <w:style w:type="character" w:styleId="Ancladenotafinal">
    <w:name w:val="Ancla de nota final"/>
    <w:rPr>
      <w:vertAlign w:val="superscript"/>
    </w:rPr>
  </w:style>
  <w:style w:type="character" w:styleId="EndnoteCharacters">
    <w:name w:val="Endnote Characters"/>
    <w:qFormat/>
    <w:rPr>
      <w:vertAlign w:val="superscrip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qFormat/>
    <w:pPr/>
    <w:rPr>
      <w:rFonts w:ascii="Tahoma" w:hAnsi="Tahoma" w:cs="Tahoma"/>
      <w:sz w:val="16"/>
      <w:szCs w:val="16"/>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1"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1"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Encabezado21" w:customStyle="1">
    <w:name w:val="Encabezado 2"/>
    <w:basedOn w:val="Normal"/>
    <w:next w:val="Normal"/>
    <w:qFormat/>
    <w:pPr>
      <w:keepNext w:val="true"/>
      <w:ind w:firstLine="709"/>
      <w:outlineLvl w:val="1"/>
    </w:pPr>
    <w:rPr>
      <w:b/>
    </w:rPr>
  </w:style>
  <w:style w:type="paragraph" w:styleId="Normal1" w:customStyle="1">
    <w:name w:val="Normal1"/>
    <w:qFormat/>
    <w:pPr>
      <w:widowControl/>
      <w:suppressAutoHyphens w:val="true"/>
      <w:bidi w:val="0"/>
      <w:spacing w:before="0" w:after="0"/>
      <w:jc w:val="left"/>
    </w:pPr>
    <w:rPr>
      <w:rFonts w:ascii="Liberation Serif" w:hAnsi="Liberation Serif" w:eastAsia="NSimSun" w:cs="Arial"/>
      <w:color w:val="auto"/>
      <w:kern w:val="2"/>
      <w:sz w:val="24"/>
      <w:szCs w:val="24"/>
      <w:lang w:eastAsia="zh-CN" w:bidi="hi-IN" w:val="es-ES"/>
    </w:rPr>
  </w:style>
  <w:style w:type="paragraph" w:styleId="ListParagraph">
    <w:name w:val="List Paragraph"/>
    <w:basedOn w:val="Normal"/>
    <w:qFormat/>
    <w:pPr>
      <w:ind w:left="708" w:hanging="0"/>
    </w:pPr>
    <w:rPr/>
  </w:style>
  <w:style w:type="paragraph" w:styleId="PlainText">
    <w:name w:val="Plain Text"/>
    <w:basedOn w:val="Normal"/>
    <w:qFormat/>
    <w:pPr/>
    <w:rPr>
      <w:rFonts w:ascii="Consolas" w:hAnsi="Consolas" w:eastAsia="Calibri" w:cs="Consolas"/>
      <w:sz w:val="21"/>
      <w:szCs w:val="21"/>
    </w:rPr>
  </w:style>
  <w:style w:type="paragraph" w:styleId="Standard1" w:customStyle="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Cuerpodetextoconsangra">
    <w:name w:val="Body Text Indent"/>
    <w:basedOn w:val="Normal"/>
    <w:pPr>
      <w:tabs>
        <w:tab w:val="clear" w:pos="708"/>
        <w:tab w:val="left" w:pos="0" w:leader="none"/>
      </w:tabs>
      <w:ind w:firstLine="567"/>
      <w:jc w:val="both"/>
    </w:pPr>
    <w:rPr>
      <w:rFonts w:ascii="Arial" w:hAnsi="Arial" w:cs="Arial"/>
      <w:spacing w:val="-2"/>
    </w:rPr>
  </w:style>
  <w:style w:type="paragraph" w:styleId="Contenidodelmarco" w:customStyle="1">
    <w:name w:val="Contenido del marco"/>
    <w:basedOn w:val="Normal"/>
    <w:qFormat/>
    <w:pPr/>
    <w:rPr/>
  </w:style>
  <w:style w:type="paragraph" w:styleId="Caption111111" w:customStyle="1">
    <w:name w:val="Caption111111"/>
    <w:basedOn w:val="Normal"/>
    <w:qFormat/>
    <w:pPr>
      <w:suppressLineNumbers/>
      <w:spacing w:before="120" w:after="120"/>
    </w:pPr>
    <w:rPr>
      <w:rFonts w:cs="Mangal"/>
      <w:i/>
      <w:iCs/>
    </w:rPr>
  </w:style>
  <w:style w:type="paragraph" w:styleId="Caption11111" w:customStyle="1">
    <w:name w:val="Caption11111"/>
    <w:basedOn w:val="Normal"/>
    <w:qFormat/>
    <w:pPr>
      <w:suppressLineNumbers/>
      <w:spacing w:before="120" w:after="120"/>
    </w:pPr>
    <w:rPr>
      <w:rFonts w:cs="Arial"/>
      <w:i/>
      <w:iCs/>
    </w:rPr>
  </w:style>
  <w:style w:type="paragraph" w:styleId="Caption1111" w:customStyle="1">
    <w:name w:val="Caption1111"/>
    <w:basedOn w:val="Normal"/>
    <w:qFormat/>
    <w:pPr>
      <w:suppressLineNumbers/>
      <w:spacing w:before="120" w:after="120"/>
    </w:pPr>
    <w:rPr>
      <w:rFonts w:cs="Arial"/>
      <w:i/>
      <w:iCs/>
    </w:rPr>
  </w:style>
  <w:style w:type="paragraph" w:styleId="Caption1112" w:customStyle="1">
    <w:name w:val="Caption1112"/>
    <w:basedOn w:val="Normal"/>
    <w:qFormat/>
    <w:pPr>
      <w:suppressLineNumbers/>
      <w:spacing w:before="120" w:after="120"/>
    </w:pPr>
    <w:rPr>
      <w:rFonts w:cs="Arial"/>
      <w:i/>
      <w:iCs/>
    </w:rPr>
  </w:style>
  <w:style w:type="paragraph" w:styleId="Caption112" w:customStyle="1">
    <w:name w:val="Caption112"/>
    <w:basedOn w:val="Normal"/>
    <w:qFormat/>
    <w:pPr>
      <w:suppressLineNumbers/>
      <w:spacing w:before="120" w:after="120"/>
    </w:pPr>
    <w:rPr>
      <w:rFonts w:cs="Arial"/>
      <w:i/>
      <w:iCs/>
    </w:rPr>
  </w:style>
  <w:style w:type="paragraph" w:styleId="Caption13" w:customStyle="1">
    <w:name w:val="Caption13"/>
    <w:basedOn w:val="Normal"/>
    <w:qFormat/>
    <w:pPr>
      <w:suppressLineNumbers/>
      <w:spacing w:before="120" w:after="120"/>
    </w:pPr>
    <w:rPr>
      <w:rFonts w:cs="Arial"/>
      <w:i/>
      <w:iCs/>
    </w:rPr>
  </w:style>
  <w:style w:type="paragraph" w:styleId="Caption2" w:customStyle="1">
    <w:name w:val="Caption2"/>
    <w:basedOn w:val="Normal"/>
    <w:qFormat/>
    <w:pPr>
      <w:suppressLineNumbers/>
      <w:spacing w:before="120" w:after="120"/>
    </w:pPr>
    <w:rPr>
      <w:rFonts w:cs="Arial"/>
      <w:i/>
      <w:iCs/>
    </w:rPr>
  </w:style>
  <w:style w:type="paragraph" w:styleId="Textopreformateado" w:customStyle="1">
    <w:name w:val="Texto preformateado"/>
    <w:basedOn w:val="Normal"/>
    <w:qFormat/>
    <w:pPr>
      <w:spacing w:before="0" w:after="0"/>
    </w:pPr>
    <w:rPr>
      <w:rFonts w:ascii="Liberation Mono;Courier New" w:hAnsi="Liberation Mono;Courier New" w:eastAsia="NSimSun" w:cs="Liberation Mono;Courier New"/>
      <w:sz w:val="20"/>
      <w:szCs w:val="20"/>
    </w:rPr>
  </w:style>
  <w:style w:type="paragraph" w:styleId="Citaenbloque" w:customStyle="1">
    <w:name w:val="Cita en bloque"/>
    <w:basedOn w:val="Normal"/>
    <w:qFormat/>
    <w:pPr>
      <w:spacing w:before="0" w:after="283"/>
      <w:ind w:left="567" w:right="567" w:hanging="0"/>
    </w:pPr>
    <w:rPr/>
  </w:style>
  <w:style w:type="paragraph" w:styleId="Lneahorizontal" w:customStyle="1">
    <w:name w:val="Línea horizontal"/>
    <w:basedOn w:val="Normal"/>
    <w:next w:val="Cuerpodetexto"/>
    <w:qFormat/>
    <w:pPr>
      <w:suppressLineNumbers/>
      <w:pBdr>
        <w:bottom w:val="double" w:sz="2" w:space="0" w:color="808080"/>
      </w:pBdr>
      <w:spacing w:before="0" w:after="283"/>
    </w:pPr>
    <w:rPr>
      <w:sz w:val="12"/>
      <w:szCs w:val="12"/>
    </w:rPr>
  </w:style>
  <w:style w:type="paragraph" w:styleId="BodyTextIndent2">
    <w:name w:val="Body Text Indent 2"/>
    <w:basedOn w:val="Normal"/>
    <w:qFormat/>
    <w:pPr>
      <w:tabs>
        <w:tab w:val="clear" w:pos="708"/>
        <w:tab w:val="left" w:pos="0" w:leader="none"/>
      </w:tabs>
      <w:ind w:left="851" w:hanging="142"/>
      <w:jc w:val="both"/>
    </w:pPr>
    <w:rPr>
      <w:rFonts w:ascii="Univers;Arial" w:hAnsi="Univers;Arial" w:eastAsia="Times New Roman" w:cs="Univers;Arial"/>
      <w:szCs w:val="20"/>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es-ES" w:eastAsia="es-ES_tradnl" w:bidi="ar-SA"/>
    </w:rPr>
  </w:style>
  <w:style w:type="paragraph" w:styleId="Encabezado5" w:customStyle="1">
    <w:name w:val="Encabezado 5"/>
    <w:basedOn w:val="Normal"/>
    <w:qFormat/>
    <w:pPr>
      <w:spacing w:before="240" w:after="60"/>
      <w:outlineLvl w:val="4"/>
    </w:pPr>
    <w:rPr>
      <w:b/>
      <w:bCs/>
      <w:i/>
      <w:iCs/>
      <w:sz w:val="26"/>
      <w:szCs w:val="26"/>
    </w:rPr>
  </w:style>
  <w:style w:type="paragraph" w:styleId="Caption3" w:customStyle="1">
    <w:name w:val="caption3"/>
    <w:basedOn w:val="Normal"/>
    <w:qFormat/>
    <w:pPr>
      <w:suppressLineNumbers/>
      <w:spacing w:before="120" w:after="120"/>
    </w:pPr>
    <w:rPr>
      <w:rFonts w:cs="Mangal"/>
      <w:i/>
      <w:iCs/>
    </w:rPr>
  </w:style>
  <w:style w:type="paragraph" w:styleId="Notaalpie">
    <w:name w:val="Footnote Text"/>
    <w:basedOn w:val="Normal"/>
    <w:pPr>
      <w:spacing w:before="0" w:after="0"/>
    </w:pPr>
    <w:rPr>
      <w:sz w:val="20"/>
      <w:szCs w:val="20"/>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rPr>
      <w:sz w:val="20"/>
      <w:szCs w:val="20"/>
    </w:rPr>
  </w:style>
  <w:style w:type="numbering" w:styleId="NoList" w:default="1">
    <w:name w:val="No List"/>
    <w:uiPriority w:val="99"/>
    <w:semiHidden/>
    <w:unhideWhenUsed/>
    <w:qFormat/>
  </w:style>
  <w:style w:type="numbering" w:styleId="Ningunalista" w:customStyle="1">
    <w:name w:val="Ninguna lista"/>
    <w:qFormat/>
  </w:style>
  <w:style w:type="numbering" w:styleId="WW8Num2" w:customStyle="1">
    <w:name w:val="WW8Num2"/>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LibreOffice/7.3.6.2$Windows_X86_64 LibreOffice_project/c28ca90fd6e1a19e189fc16c05f8f8924961e12e</Application>
  <AppVersion>15.0000</AppVersion>
  <Pages>2</Pages>
  <Words>559</Words>
  <Characters>2909</Characters>
  <CharactersWithSpaces>3465</CharactersWithSpaces>
  <Paragraphs>10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2025-05-20T09:28:00Z</dcterms:created>
  <dc:creator>José María Vega Soto</dc:creator>
  <dc:description/>
  <dc:language>es-ES</dc:language>
  <cp:lastModifiedBy/>
  <cp:lastPrinted>2025-05-20T11:49:00Z</cp:lastPrinted>
  <dcterms:modified xsi:type="dcterms:W3CDTF">2025-05-23T13:49:42Z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