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7E0A" w:rsidRDefault="00B87E0A">
      <w:pPr>
        <w:spacing w:after="0"/>
        <w:rPr>
          <w:rFonts w:ascii="Arial Narrow" w:hAnsi="Arial Narrow"/>
          <w:b/>
          <w:sz w:val="40"/>
          <w:szCs w:val="40"/>
        </w:rPr>
      </w:pPr>
    </w:p>
    <w:p w:rsidR="00B87E0A" w:rsidRDefault="00291842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 xml:space="preserve">El Ayuntamiento contará con asesoría para  avanzar en la puesta en marcha del </w:t>
      </w:r>
      <w:proofErr w:type="spellStart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>Hub</w:t>
      </w:r>
      <w:proofErr w:type="spellEnd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 xml:space="preserve"> Aeronáutico ‘Net Zero Jerez’ y atraer a empresas que inviertan en el sector</w:t>
      </w:r>
    </w:p>
    <w:p w:rsidR="00B87E0A" w:rsidRDefault="00291842">
      <w:pPr>
        <w:jc w:val="both"/>
      </w:pPr>
      <w:proofErr w:type="gramStart"/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xx</w:t>
      </w:r>
      <w:proofErr w:type="gramEnd"/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 xml:space="preserve"> de mayo de 2025</w:t>
      </w:r>
      <w:r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. </w:t>
      </w:r>
      <w:r>
        <w:rPr>
          <w:rFonts w:ascii="Arial Narrow" w:hAnsi="Arial Narrow"/>
          <w:color w:val="000000"/>
          <w:sz w:val="26"/>
          <w:szCs w:val="26"/>
        </w:rPr>
        <w:t xml:space="preserve">La Junta de Gobierno local ha aprobado la contratación de un </w:t>
      </w:r>
      <w:r>
        <w:rPr>
          <w:rFonts w:ascii="Arial Narrow" w:eastAsia="Times New Roman" w:hAnsi="Arial Narrow" w:cs="Arial"/>
          <w:sz w:val="26"/>
          <w:szCs w:val="26"/>
          <w:lang w:eastAsia="es-ES"/>
        </w:rPr>
        <w:t>servicio de consultoría para la identificación de ‘</w:t>
      </w:r>
      <w:proofErr w:type="spellStart"/>
      <w:r>
        <w:rPr>
          <w:rFonts w:ascii="Arial Narrow" w:eastAsia="Times New Roman" w:hAnsi="Arial Narrow" w:cs="Arial"/>
          <w:sz w:val="26"/>
          <w:szCs w:val="26"/>
          <w:lang w:eastAsia="es-ES"/>
        </w:rPr>
        <w:t>startups</w:t>
      </w:r>
      <w:proofErr w:type="spellEnd"/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’ susceptibles de participar en un programa de aceleración de empresas del sector aeronáutico que contribuya a la creación del </w:t>
      </w:r>
      <w:proofErr w:type="spellStart"/>
      <w:r>
        <w:rPr>
          <w:rFonts w:ascii="Arial Narrow" w:eastAsia="Times New Roman" w:hAnsi="Arial Narrow" w:cs="Arial"/>
          <w:sz w:val="26"/>
          <w:szCs w:val="26"/>
          <w:lang w:eastAsia="es-ES"/>
        </w:rPr>
        <w:t>Hub</w:t>
      </w:r>
      <w:proofErr w:type="spellEnd"/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 Aeronáutico ‘Net Zero Jerez’. </w:t>
      </w:r>
      <w:r>
        <w:rPr>
          <w:rFonts w:ascii="Arial Narrow" w:eastAsia="Times New Roman" w:hAnsi="Arial Narrow" w:cs="Arial"/>
          <w:sz w:val="26"/>
          <w:szCs w:val="26"/>
          <w:lang w:eastAsia="zh-CN"/>
        </w:rPr>
        <w:t xml:space="preserve">El contrato se ha adjudicado a </w:t>
      </w:r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Plug </w:t>
      </w:r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and Play </w:t>
      </w:r>
      <w:proofErr w:type="spellStart"/>
      <w:r>
        <w:rPr>
          <w:rFonts w:ascii="Arial Narrow" w:eastAsia="Times New Roman" w:hAnsi="Arial Narrow" w:cs="Arial"/>
          <w:sz w:val="26"/>
          <w:szCs w:val="26"/>
          <w:lang w:eastAsia="es-ES"/>
        </w:rPr>
        <w:t>Platform</w:t>
      </w:r>
      <w:proofErr w:type="spellEnd"/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sz w:val="26"/>
          <w:szCs w:val="26"/>
          <w:lang w:eastAsia="es-ES"/>
        </w:rPr>
        <w:t>Spain</w:t>
      </w:r>
      <w:proofErr w:type="spellEnd"/>
      <w:r>
        <w:rPr>
          <w:rFonts w:ascii="Arial Narrow" w:eastAsia="Times New Roman" w:hAnsi="Arial Narrow" w:cs="Arial"/>
          <w:sz w:val="26"/>
          <w:szCs w:val="26"/>
          <w:lang w:eastAsia="es-ES"/>
        </w:rPr>
        <w:t>, S.L. empresa con acreditada experiencia y solvencia técnica en la prestación de servicios de estas características, por importe de 18.029 euros.</w:t>
      </w:r>
    </w:p>
    <w:p w:rsidR="00B87E0A" w:rsidRDefault="002918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delegada de Empleo,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ha señalado que este acuerdo se enmarca dentro del</w:t>
      </w:r>
      <w:r>
        <w:rPr>
          <w:rFonts w:ascii="Arial Narrow" w:hAnsi="Arial Narrow"/>
          <w:sz w:val="26"/>
          <w:szCs w:val="26"/>
        </w:rPr>
        <w:t xml:space="preserve"> compromiso del Gobierno municipal de impulsar esta industria “como sector fundamental para lograr un crecimiento económico equilibrado y sostenible en la ciudad”. En este sentido, ha recordado que en marzo de 2024 se daba a conocer el </w:t>
      </w:r>
      <w:proofErr w:type="spellStart"/>
      <w:r>
        <w:rPr>
          <w:rFonts w:ascii="Arial Narrow" w:hAnsi="Arial Narrow"/>
          <w:sz w:val="26"/>
          <w:szCs w:val="26"/>
        </w:rPr>
        <w:t>Hub</w:t>
      </w:r>
      <w:proofErr w:type="spellEnd"/>
      <w:r>
        <w:rPr>
          <w:rFonts w:ascii="Arial Narrow" w:hAnsi="Arial Narrow"/>
          <w:sz w:val="26"/>
          <w:szCs w:val="26"/>
        </w:rPr>
        <w:t xml:space="preserve"> Aeronáutico ‘Net</w:t>
      </w:r>
      <w:r>
        <w:rPr>
          <w:rFonts w:ascii="Arial Narrow" w:hAnsi="Arial Narrow"/>
          <w:sz w:val="26"/>
          <w:szCs w:val="26"/>
        </w:rPr>
        <w:t xml:space="preserve"> Zero Jerez’, “un proyecto clave para lograr estos objetivos y que nacía con la vocación de posicionar a Andalucía y a Jerez como referente en el desarrollo de esa aviación de futuro, dentro de la Estrategia Aeroespacial Autonómica”. </w:t>
      </w:r>
    </w:p>
    <w:p w:rsidR="00B87E0A" w:rsidRDefault="000A047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la realización del proyecto, la Consejería de Industria, Energía y Minas aprobaba en 2024 las bases reguladoras para la concesión de Incentivos de Transición Justa destinados al impulso de ecosistemas industriales sostenibles en las provincias de Almería, Cádiz y Córdoba. El presupuesto total para Andalucía era de 154 millones de euros de los</w:t>
      </w:r>
      <w:r w:rsidR="00291842">
        <w:rPr>
          <w:rFonts w:ascii="Arial Narrow" w:hAnsi="Arial Narrow"/>
          <w:sz w:val="26"/>
          <w:szCs w:val="26"/>
        </w:rPr>
        <w:t xml:space="preserve"> que</w:t>
      </w:r>
      <w:r>
        <w:rPr>
          <w:rFonts w:ascii="Arial Narrow" w:hAnsi="Arial Narrow"/>
          <w:sz w:val="26"/>
          <w:szCs w:val="26"/>
        </w:rPr>
        <w:t xml:space="preserve"> 78 millones estarían destinados a proyectos a desarrollar en la provincia de Cádiz. El 31 de marzo de 2025 la Consejería de </w:t>
      </w:r>
      <w:r w:rsidR="00291842">
        <w:rPr>
          <w:rFonts w:ascii="Arial Narrow" w:hAnsi="Arial Narrow"/>
          <w:sz w:val="26"/>
          <w:szCs w:val="26"/>
        </w:rPr>
        <w:t>Industri</w:t>
      </w:r>
      <w:r>
        <w:rPr>
          <w:rFonts w:ascii="Arial Narrow" w:hAnsi="Arial Narrow"/>
          <w:sz w:val="26"/>
          <w:szCs w:val="26"/>
        </w:rPr>
        <w:t>a, Energía y Minas ha realizado la primera convocatoria de incentivos para uno de los proy</w:t>
      </w:r>
      <w:r w:rsidR="00291842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>ctos motores que se pretende desarrollar en la provincia de Cádiz co</w:t>
      </w:r>
      <w:r w:rsidR="00291842">
        <w:rPr>
          <w:rFonts w:ascii="Arial Narrow" w:hAnsi="Arial Narrow"/>
          <w:sz w:val="26"/>
          <w:szCs w:val="26"/>
        </w:rPr>
        <w:t>m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o es el '</w:t>
      </w:r>
      <w:proofErr w:type="spellStart"/>
      <w:r>
        <w:rPr>
          <w:rFonts w:ascii="Arial Narrow" w:hAnsi="Arial Narrow"/>
          <w:sz w:val="26"/>
          <w:szCs w:val="26"/>
        </w:rPr>
        <w:t>Hub</w:t>
      </w:r>
      <w:proofErr w:type="spellEnd"/>
      <w:r>
        <w:rPr>
          <w:rFonts w:ascii="Arial Narrow" w:hAnsi="Arial Narrow"/>
          <w:sz w:val="26"/>
          <w:szCs w:val="26"/>
        </w:rPr>
        <w:t xml:space="preserve"> Aeronáutico Net Zero Jerez', mediante la cual se concederán ayudas para la aceleración de </w:t>
      </w:r>
      <w:proofErr w:type="spellStart"/>
      <w:r>
        <w:rPr>
          <w:rFonts w:ascii="Arial Narrow" w:hAnsi="Arial Narrow"/>
          <w:sz w:val="26"/>
          <w:szCs w:val="26"/>
        </w:rPr>
        <w:t>startups</w:t>
      </w:r>
      <w:proofErr w:type="spellEnd"/>
      <w:r>
        <w:rPr>
          <w:rFonts w:ascii="Arial Narrow" w:hAnsi="Arial Narrow"/>
          <w:sz w:val="26"/>
          <w:szCs w:val="26"/>
        </w:rPr>
        <w:t xml:space="preserve"> y la creación de nuevas empresas</w:t>
      </w:r>
      <w:r w:rsidR="00291842">
        <w:rPr>
          <w:rFonts w:ascii="Arial Narrow" w:hAnsi="Arial Narrow"/>
          <w:sz w:val="26"/>
          <w:szCs w:val="26"/>
        </w:rPr>
        <w:t xml:space="preserve"> aeronáuticas en Jerez, que es lo que motiva la realización del contrato de consultoría con Plug and Play </w:t>
      </w:r>
      <w:proofErr w:type="spellStart"/>
      <w:r w:rsidR="00291842">
        <w:rPr>
          <w:rFonts w:ascii="Arial Narrow" w:hAnsi="Arial Narrow"/>
          <w:sz w:val="26"/>
          <w:szCs w:val="26"/>
        </w:rPr>
        <w:t>Plattform</w:t>
      </w:r>
      <w:proofErr w:type="spellEnd"/>
      <w:r w:rsidR="00291842">
        <w:rPr>
          <w:rFonts w:ascii="Arial Narrow" w:hAnsi="Arial Narrow"/>
          <w:sz w:val="26"/>
          <w:szCs w:val="26"/>
        </w:rPr>
        <w:t xml:space="preserve">. </w:t>
      </w:r>
    </w:p>
    <w:p w:rsidR="00B87E0A" w:rsidRDefault="002918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Asimismo, en octubre del año pasado se presentó a empresas del sector aeronáutico el proyecto que la mul</w:t>
      </w:r>
      <w:r>
        <w:rPr>
          <w:rFonts w:ascii="Arial Narrow" w:hAnsi="Arial Narrow"/>
          <w:sz w:val="26"/>
          <w:szCs w:val="26"/>
        </w:rPr>
        <w:t xml:space="preserve">tinacional Plug and Play diseñó para el desarrollo del </w:t>
      </w:r>
      <w:proofErr w:type="spellStart"/>
      <w:r>
        <w:rPr>
          <w:rFonts w:ascii="Arial Narrow" w:hAnsi="Arial Narrow"/>
          <w:sz w:val="26"/>
          <w:szCs w:val="26"/>
        </w:rPr>
        <w:t>Hub</w:t>
      </w:r>
      <w:proofErr w:type="spellEnd"/>
      <w:r>
        <w:rPr>
          <w:rFonts w:ascii="Arial Narrow" w:hAnsi="Arial Narrow"/>
          <w:sz w:val="26"/>
          <w:szCs w:val="26"/>
        </w:rPr>
        <w:t>, “y ahora damos un paso más -ha explicado la delegada municipal- con la contratación de este estudio preliminar con el que se pretende avanzar en la puesta en marcha de este Polo Aeroespacial, y su</w:t>
      </w:r>
      <w:r>
        <w:rPr>
          <w:rFonts w:ascii="Arial Narrow" w:hAnsi="Arial Narrow"/>
          <w:sz w:val="26"/>
          <w:szCs w:val="26"/>
        </w:rPr>
        <w:t xml:space="preserve">mar al proceso de atracción de empresas que inviertan en Jerez, al igual que se está haciendo desde la Red de Ciudades Industriales a la que pertenece Jerez desde septiembre de 2023”. </w:t>
      </w:r>
    </w:p>
    <w:p w:rsidR="00B87E0A" w:rsidRDefault="002918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A través de este contrato, Plug and Play llevará a cabo un análisis exh</w:t>
      </w:r>
      <w:r>
        <w:rPr>
          <w:rFonts w:ascii="Arial Narrow" w:hAnsi="Arial Narrow"/>
          <w:sz w:val="26"/>
          <w:szCs w:val="26"/>
        </w:rPr>
        <w:t xml:space="preserve">austivo del ecosistema aeronáutico tanto a nivel nacional como internacional. En concreto, la empresa elaborará un </w:t>
      </w:r>
      <w:r>
        <w:rPr>
          <w:rFonts w:ascii="Arial Narrow" w:eastAsia="Times New Roman" w:hAnsi="Arial Narrow" w:cs="Arial"/>
          <w:sz w:val="26"/>
          <w:szCs w:val="26"/>
          <w:lang w:eastAsia="es-ES"/>
        </w:rPr>
        <w:t>estudio de mapeo y análisis del tejido de empresas aeronáuticas en la Unión Europea que permita identificar las ‘</w:t>
      </w:r>
      <w:proofErr w:type="spellStart"/>
      <w:r>
        <w:rPr>
          <w:rFonts w:ascii="Arial Narrow" w:eastAsia="Times New Roman" w:hAnsi="Arial Narrow" w:cs="Arial"/>
          <w:sz w:val="26"/>
          <w:szCs w:val="26"/>
          <w:lang w:eastAsia="es-ES"/>
        </w:rPr>
        <w:t>startups</w:t>
      </w:r>
      <w:proofErr w:type="spellEnd"/>
      <w:r>
        <w:rPr>
          <w:rFonts w:ascii="Arial Narrow" w:eastAsia="Times New Roman" w:hAnsi="Arial Narrow" w:cs="Arial"/>
          <w:sz w:val="26"/>
          <w:szCs w:val="26"/>
          <w:lang w:eastAsia="es-ES"/>
        </w:rPr>
        <w:t>’ susceptibles de se</w:t>
      </w:r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r atraídas y que puedan participar en el </w:t>
      </w:r>
      <w:proofErr w:type="gramStart"/>
      <w:r>
        <w:rPr>
          <w:rFonts w:ascii="Arial Narrow" w:eastAsia="Times New Roman" w:hAnsi="Arial Narrow" w:cs="Arial"/>
          <w:sz w:val="26"/>
          <w:szCs w:val="26"/>
          <w:lang w:eastAsia="es-ES"/>
        </w:rPr>
        <w:t>programa</w:t>
      </w:r>
      <w:proofErr w:type="gramEnd"/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 de aceleración en el </w:t>
      </w:r>
      <w:proofErr w:type="spellStart"/>
      <w:r>
        <w:rPr>
          <w:rFonts w:ascii="Arial Narrow" w:eastAsia="Times New Roman" w:hAnsi="Arial Narrow" w:cs="Arial"/>
          <w:sz w:val="26"/>
          <w:szCs w:val="26"/>
          <w:lang w:eastAsia="es-ES"/>
        </w:rPr>
        <w:t>Hub</w:t>
      </w:r>
      <w:proofErr w:type="spellEnd"/>
      <w:r>
        <w:rPr>
          <w:rFonts w:ascii="Arial Narrow" w:eastAsia="Times New Roman" w:hAnsi="Arial Narrow" w:cs="Arial"/>
          <w:sz w:val="26"/>
          <w:szCs w:val="26"/>
          <w:lang w:eastAsia="es-ES"/>
        </w:rPr>
        <w:t xml:space="preserve"> Aeronáutico Net Zero de Jerez y, en último término, localizarse en Jerez.</w:t>
      </w:r>
    </w:p>
    <w:p w:rsidR="00B87E0A" w:rsidRDefault="002918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ello, se basará en su sólida experiencia en la búsqueda, identificación y evaluación de este tipo de e</w:t>
      </w:r>
      <w:r>
        <w:rPr>
          <w:rFonts w:ascii="Arial Narrow" w:hAnsi="Arial Narrow"/>
          <w:sz w:val="26"/>
          <w:szCs w:val="26"/>
        </w:rPr>
        <w:t xml:space="preserve">mpresas para seleccionar las más cualificadas y alineadas con los requisitos de la subvención, a fin de acompañarlas en el proceso posterior de solicitud.  La previsión es que este estudio esté concluido en el mes de septiembre. </w:t>
      </w:r>
    </w:p>
    <w:p w:rsidR="00B87E0A" w:rsidRDefault="00291842">
      <w:pPr>
        <w:pStyle w:val="Normal1"/>
        <w:jc w:val="both"/>
      </w:pPr>
      <w:r>
        <w:rPr>
          <w:rFonts w:ascii="Arial Narrow" w:hAnsi="Arial Narrow"/>
          <w:b/>
          <w:bCs/>
          <w:sz w:val="26"/>
          <w:szCs w:val="26"/>
        </w:rPr>
        <w:t>Asesoramiento especializad</w:t>
      </w:r>
      <w:r>
        <w:rPr>
          <w:rFonts w:ascii="Arial Narrow" w:hAnsi="Arial Narrow"/>
          <w:b/>
          <w:bCs/>
          <w:sz w:val="26"/>
          <w:szCs w:val="26"/>
        </w:rPr>
        <w:t>o digital para las PYMES del destino</w:t>
      </w:r>
    </w:p>
    <w:p w:rsidR="00B87E0A" w:rsidRDefault="00B87E0A">
      <w:pPr>
        <w:pStyle w:val="Normal1"/>
        <w:jc w:val="both"/>
        <w:rPr>
          <w:rFonts w:ascii="Arial Narrow" w:hAnsi="Arial Narrow"/>
          <w:sz w:val="26"/>
          <w:szCs w:val="26"/>
        </w:rPr>
      </w:pPr>
    </w:p>
    <w:p w:rsidR="00B87E0A" w:rsidRDefault="00291842">
      <w:pPr>
        <w:pStyle w:val="Normal1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Por otro lado, el Ayuntamiento ha adjudicado el servicio de asesoramiento especializado digital para PYMES, que va a permitir </w:t>
      </w:r>
      <w:r>
        <w:rPr>
          <w:rFonts w:ascii="Arial Narrow" w:hAnsi="Arial Narrow" w:cs="Calibri"/>
          <w:color w:val="000000"/>
          <w:sz w:val="26"/>
          <w:szCs w:val="26"/>
        </w:rPr>
        <w:t>capacitar a las pequeñas y medianas empresas de la ciudad y, especialmente, a las que operan</w:t>
      </w:r>
      <w:r>
        <w:rPr>
          <w:rFonts w:ascii="Arial Narrow" w:hAnsi="Arial Narrow" w:cs="Calibri"/>
          <w:color w:val="000000"/>
          <w:sz w:val="26"/>
          <w:szCs w:val="26"/>
        </w:rPr>
        <w:t xml:space="preserve"> en la industria turística, en su proceso incorporación a las nuevas tecnologías de la información y la comunicación para mejorar su competitividad. El contrato se ha adjudicado a MB3 Gestión y Asesoramiento Técnico por importe de 26.888 euros, sin IVA. </w:t>
      </w:r>
    </w:p>
    <w:p w:rsidR="00B87E0A" w:rsidRDefault="00B87E0A">
      <w:pPr>
        <w:pStyle w:val="Normal11"/>
        <w:jc w:val="both"/>
        <w:rPr>
          <w:rFonts w:ascii="Arial Narrow" w:hAnsi="Arial Narrow"/>
          <w:sz w:val="26"/>
          <w:szCs w:val="26"/>
        </w:rPr>
      </w:pPr>
    </w:p>
    <w:p w:rsidR="00B87E0A" w:rsidRDefault="00291842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color w:val="000000"/>
          <w:sz w:val="26"/>
          <w:szCs w:val="26"/>
        </w:rPr>
        <w:t>Esta actuación se enmarca en el “Plan de Sostenibilidad Turística en Destino</w:t>
      </w:r>
      <w:r>
        <w:rPr>
          <w:rFonts w:ascii="Arial Narrow" w:hAnsi="Arial Narrow" w:cs="Calibri"/>
          <w:caps/>
          <w:color w:val="000000"/>
          <w:sz w:val="26"/>
          <w:szCs w:val="26"/>
        </w:rPr>
        <w:t xml:space="preserve"> “</w:t>
      </w:r>
      <w:r>
        <w:rPr>
          <w:rFonts w:ascii="Arial Narrow" w:hAnsi="Arial Narrow" w:cs="Calibri"/>
          <w:color w:val="000000"/>
          <w:sz w:val="26"/>
          <w:szCs w:val="26"/>
        </w:rPr>
        <w:t>PST Eje urbano bodeguero de Jerez: Distrito Sherry”</w:t>
      </w:r>
      <w:r>
        <w:rPr>
          <w:rFonts w:ascii="Arial Narrow" w:hAnsi="Arial Narrow" w:cs="Calibri"/>
          <w:caps/>
          <w:color w:val="000000"/>
          <w:sz w:val="26"/>
          <w:szCs w:val="26"/>
        </w:rPr>
        <w:t xml:space="preserve">, </w:t>
      </w:r>
      <w:r>
        <w:rPr>
          <w:rFonts w:ascii="Arial Narrow" w:hAnsi="Arial Narrow" w:cs="Calibri"/>
          <w:color w:val="000000"/>
          <w:sz w:val="26"/>
          <w:szCs w:val="26"/>
        </w:rPr>
        <w:t>perteneciente al Plan Territorial de Sostenibilidad Turística en Destinos de Andalucía 2021, en el marco del Plan de Recupera</w:t>
      </w:r>
      <w:r>
        <w:rPr>
          <w:rFonts w:ascii="Arial Narrow" w:hAnsi="Arial Narrow" w:cs="Calibri"/>
          <w:color w:val="000000"/>
          <w:sz w:val="26"/>
          <w:szCs w:val="26"/>
        </w:rPr>
        <w:t>ción, Transformación y Resiliencia</w:t>
      </w:r>
      <w:r>
        <w:rPr>
          <w:rFonts w:ascii="Arial Narrow" w:hAnsi="Arial Narrow" w:cs="Calibri"/>
          <w:caps/>
          <w:color w:val="000000"/>
          <w:sz w:val="26"/>
          <w:szCs w:val="26"/>
        </w:rPr>
        <w:t>.</w:t>
      </w:r>
    </w:p>
    <w:p w:rsidR="00B87E0A" w:rsidRDefault="002918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color w:val="000000"/>
          <w:sz w:val="26"/>
          <w:szCs w:val="26"/>
        </w:rPr>
        <w:t xml:space="preserve">Asimismo, forma parte de la apuesta del Gobierno local de fomentar la digitalización de la oferta turística del destino Jerez de cara a continuar incrementando su posicionamiento en los diferentes mercados de la demanda </w:t>
      </w:r>
      <w:r>
        <w:rPr>
          <w:rFonts w:ascii="Arial Narrow" w:hAnsi="Arial Narrow" w:cs="Calibri"/>
          <w:color w:val="000000"/>
          <w:sz w:val="26"/>
          <w:szCs w:val="26"/>
        </w:rPr>
        <w:t xml:space="preserve">y </w:t>
      </w:r>
      <w:r>
        <w:rPr>
          <w:rFonts w:ascii="Arial Narrow" w:eastAsia="Wingdings" w:hAnsi="Arial Narrow" w:cs="Calibri"/>
          <w:color w:val="000000"/>
          <w:sz w:val="26"/>
          <w:szCs w:val="26"/>
          <w:lang w:eastAsia="es-ES"/>
        </w:rPr>
        <w:t>mejorando la acogida y experiencia turística en destino.</w:t>
      </w:r>
    </w:p>
    <w:p w:rsidR="00B87E0A" w:rsidRDefault="00291842">
      <w:pPr>
        <w:pStyle w:val="Standard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color w:val="000000"/>
          <w:sz w:val="26"/>
          <w:szCs w:val="26"/>
        </w:rPr>
        <w:t>Este contrato posibilitará contar con un servicio técnico especializado que se encargará de asesorar, formar y capacitar sobre el potencial que tienen las herramientas TIC para detectar, analizar y</w:t>
      </w:r>
      <w:r>
        <w:rPr>
          <w:rFonts w:ascii="Arial Narrow" w:hAnsi="Arial Narrow" w:cs="Calibri"/>
          <w:color w:val="000000"/>
          <w:sz w:val="26"/>
          <w:szCs w:val="26"/>
        </w:rPr>
        <w:t xml:space="preserve"> promocionar los servicios y productos turísticos a las pymes, </w:t>
      </w:r>
      <w:proofErr w:type="spellStart"/>
      <w:r>
        <w:rPr>
          <w:rFonts w:ascii="Arial Narrow" w:hAnsi="Arial Narrow" w:cs="Calibri"/>
          <w:color w:val="000000"/>
          <w:sz w:val="26"/>
          <w:szCs w:val="26"/>
        </w:rPr>
        <w:t>micropymes</w:t>
      </w:r>
      <w:proofErr w:type="spellEnd"/>
      <w:r>
        <w:rPr>
          <w:rFonts w:ascii="Arial Narrow" w:hAnsi="Arial Narrow" w:cs="Calibri"/>
          <w:color w:val="000000"/>
          <w:sz w:val="26"/>
          <w:szCs w:val="26"/>
        </w:rPr>
        <w:t>, profesionales autónomos y emprendedores, y especialmente, a los agentes relacionados con el Turismo y  con el 'Eje urbano bodeguero de Jerez de la Frontera: Distrito Sherry'.</w:t>
      </w:r>
    </w:p>
    <w:p w:rsidR="00B87E0A" w:rsidRDefault="0029184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color w:val="000000"/>
          <w:sz w:val="26"/>
          <w:szCs w:val="26"/>
        </w:rPr>
        <w:t>El Pla</w:t>
      </w:r>
      <w:r>
        <w:rPr>
          <w:rFonts w:ascii="Arial Narrow" w:hAnsi="Arial Narrow" w:cs="Calibri"/>
          <w:color w:val="000000"/>
          <w:sz w:val="26"/>
          <w:szCs w:val="26"/>
        </w:rPr>
        <w:t xml:space="preserve">n de asesoramiento, formación y capacitación que se establezca deberá tener en cuenta la orientación de las empresas hacia la economía circular y sostenible. </w:t>
      </w:r>
    </w:p>
    <w:p w:rsidR="00B87E0A" w:rsidRDefault="00B87E0A">
      <w:pPr>
        <w:jc w:val="both"/>
        <w:rPr>
          <w:rFonts w:ascii="Arial Narrow" w:hAnsi="Arial Narrow"/>
          <w:sz w:val="26"/>
          <w:szCs w:val="26"/>
        </w:rPr>
      </w:pPr>
    </w:p>
    <w:p w:rsidR="00B87E0A" w:rsidRDefault="00B87E0A">
      <w:pPr>
        <w:pStyle w:val="western"/>
        <w:jc w:val="both"/>
        <w:rPr>
          <w:rFonts w:ascii="Segoe UI Semilight" w:eastAsia="Malgun Gothic" w:hAnsi="Segoe UI Semilight" w:cstheme="minorHAnsi"/>
          <w:b/>
          <w:bCs/>
          <w:color w:val="auto"/>
          <w:spacing w:val="-3"/>
          <w:sz w:val="26"/>
          <w:szCs w:val="26"/>
          <w:lang w:eastAsia="es-ES_tradnl"/>
        </w:rPr>
      </w:pPr>
    </w:p>
    <w:sectPr w:rsidR="00B87E0A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1842">
      <w:pPr>
        <w:spacing w:after="0"/>
      </w:pPr>
      <w:r>
        <w:separator/>
      </w:r>
    </w:p>
  </w:endnote>
  <w:endnote w:type="continuationSeparator" w:id="0">
    <w:p w:rsidR="00000000" w:rsidRDefault="002918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BT;Lucida Sans Unico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G Times">
    <w:charset w:val="00"/>
    <w:family w:val="roman"/>
    <w:pitch w:val="variable"/>
  </w:font>
  <w:font w:name="Humanst521 Lt BT;Bookman Old St">
    <w:panose1 w:val="00000000000000000000"/>
    <w:charset w:val="00"/>
    <w:family w:val="roman"/>
    <w:notTrueType/>
    <w:pitch w:val="default"/>
  </w:font>
  <w:font w:name="Univers;Arial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0A" w:rsidRDefault="00B87E0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1842">
      <w:pPr>
        <w:spacing w:after="0"/>
      </w:pPr>
      <w:r>
        <w:separator/>
      </w:r>
    </w:p>
  </w:footnote>
  <w:footnote w:type="continuationSeparator" w:id="0">
    <w:p w:rsidR="00000000" w:rsidRDefault="002918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0A" w:rsidRDefault="0029184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7E0A" w:rsidRDefault="0029184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B87E0A"/>
    <w:rsid w:val="000A0474"/>
    <w:rsid w:val="00291842"/>
    <w:rsid w:val="00B8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89A75-368E-47CE-9180-452EA098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umanst521 BT;Lucida Sans Unico" w:hAnsi="Humanst521 BT;Lucida Sans Unico" w:cs="Humanst521 BT;Lucida Sans Unico"/>
      <w:b/>
      <w:sz w:val="28"/>
    </w:rPr>
  </w:style>
  <w:style w:type="paragraph" w:styleId="Ttulo2">
    <w:name w:val="heading 2"/>
    <w:basedOn w:val="Normal"/>
    <w:qFormat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Ttulo"/>
    <w:next w:val="Textoindependient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olor w:val="117A02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qFormat/>
    <w:rPr>
      <w:i/>
      <w:iCs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tuloCar">
    <w:name w:val="Título Car"/>
    <w:qFormat/>
    <w:rPr>
      <w:rFonts w:ascii="CG Times" w:eastAsia="Times New Roman" w:hAnsi="CG Times" w:cs="CG Times"/>
      <w:sz w:val="24"/>
    </w:rPr>
  </w:style>
  <w:style w:type="character" w:customStyle="1" w:styleId="TextoindependienteCar">
    <w:name w:val="Texto independiente Car"/>
    <w:qFormat/>
    <w:rPr>
      <w:rFonts w:ascii="Humanst521 Lt BT;Bookman Old St" w:eastAsia="Times New Roman" w:hAnsi="Humanst521 Lt BT;Bookman Old St" w:cs="Times New Roman"/>
      <w:sz w:val="28"/>
      <w:szCs w:val="20"/>
    </w:rPr>
  </w:style>
  <w:style w:type="character" w:customStyle="1" w:styleId="Ttulo1Car">
    <w:name w:val="Título 1 Car"/>
    <w:qFormat/>
    <w:rPr>
      <w:rFonts w:ascii="Humanst521 BT;Lucida Sans Unico" w:eastAsia="Times New Roman" w:hAnsi="Humanst521 BT;Lucida Sans Unico" w:cs="Times New Roman"/>
      <w:b/>
      <w:sz w:val="28"/>
      <w:szCs w:val="20"/>
    </w:rPr>
  </w:style>
  <w:style w:type="character" w:customStyle="1" w:styleId="Ttulo2Car">
    <w:name w:val="Título 2 Car"/>
    <w:basedOn w:val="Fuentedeprrafopredete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angra2detindependienteCar">
    <w:name w:val="Sangría 2 de t. independiente Car"/>
    <w:basedOn w:val="Fuentedeprrafopredeter"/>
    <w:qFormat/>
    <w:rPr>
      <w:rFonts w:ascii="Univers;Arial" w:eastAsia="Times New Roman" w:hAnsi="Univers;Arial" w:cs="Univers;Arial"/>
      <w:spacing w:val="0"/>
      <w:sz w:val="24"/>
      <w:lang w:val="es-ES"/>
    </w:rPr>
  </w:style>
  <w:style w:type="character" w:customStyle="1" w:styleId="TextosinformatoCar">
    <w:name w:val="Texto sin formato Car"/>
    <w:basedOn w:val="Fuentedeprrafopredeter"/>
    <w:qFormat/>
    <w:rPr>
      <w:rFonts w:ascii="Consolas" w:eastAsia="Calibri" w:hAnsi="Consolas" w:cs="Times New Roman"/>
      <w:sz w:val="21"/>
      <w:szCs w:val="21"/>
    </w:rPr>
  </w:style>
  <w:style w:type="character" w:customStyle="1" w:styleId="SinespaciadoCar">
    <w:name w:val="Sin espaciado Car"/>
    <w:basedOn w:val="Fuentedeprrafopredeter"/>
    <w:qFormat/>
    <w:rPr>
      <w:rFonts w:ascii="Times New Roman" w:eastAsia="Times New Roman" w:hAnsi="Times New Roman" w:cs="Times New Roman"/>
      <w:sz w:val="24"/>
      <w:szCs w:val="24"/>
      <w:lang w:val="es-ES" w:bidi="ar-SA"/>
    </w:rPr>
  </w:style>
  <w:style w:type="character" w:customStyle="1" w:styleId="Ttulo5Car">
    <w:name w:val="Título 5 Car"/>
    <w:basedOn w:val="Fuentedeprrafopredeter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hAnsi="Times New Roman" w:cs="Times New Roman"/>
      <w:bCs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extonotapieCar">
    <w:name w:val="Texto nota pie Car"/>
    <w:basedOn w:val="Fuentedeprrafopredeter"/>
    <w:qFormat/>
    <w:rPr>
      <w:sz w:val="20"/>
      <w:szCs w:val="20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qFormat/>
    <w:rPr>
      <w:rFonts w:ascii="Tahoma" w:hAnsi="Tahoma" w:cs="Tahoma"/>
      <w:sz w:val="16"/>
      <w:szCs w:val="16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Normal1">
    <w:name w:val="Normal1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Standard1">
    <w:name w:val="Standard1"/>
    <w:qFormat/>
    <w:pPr>
      <w:textAlignment w:val="baseline"/>
    </w:pPr>
    <w:rPr>
      <w:kern w:val="2"/>
      <w:lang w:val="en-US" w:eastAsia="zh-CN"/>
    </w:rPr>
  </w:style>
  <w:style w:type="paragraph" w:styleId="Sangradetextonormal">
    <w:name w:val="Body Text Indent"/>
    <w:basedOn w:val="Normal"/>
    <w:pPr>
      <w:tabs>
        <w:tab w:val="left" w:pos="0"/>
      </w:tabs>
      <w:ind w:firstLine="567"/>
      <w:jc w:val="both"/>
    </w:pPr>
    <w:rPr>
      <w:rFonts w:ascii="Arial" w:hAnsi="Arial" w:cs="Arial"/>
      <w:spacing w:val="-2"/>
    </w:rPr>
  </w:style>
  <w:style w:type="paragraph" w:customStyle="1" w:styleId="Contenidodelmarco">
    <w:name w:val="Contenido del marco"/>
    <w:basedOn w:val="Normal"/>
    <w:qFormat/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xtopreformateado">
    <w:name w:val="Texto preformateado"/>
    <w:basedOn w:val="Normal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angra2detindependiente">
    <w:name w:val="Body Text Indent 2"/>
    <w:basedOn w:val="Normal"/>
    <w:qFormat/>
    <w:pPr>
      <w:tabs>
        <w:tab w:val="left" w:pos="0"/>
      </w:tabs>
      <w:ind w:left="851" w:hanging="142"/>
      <w:jc w:val="both"/>
    </w:pPr>
    <w:rPr>
      <w:rFonts w:ascii="Univers;Arial" w:eastAsia="Times New Roman" w:hAnsi="Univers;Arial" w:cs="Univers;Arial"/>
      <w:szCs w:val="20"/>
    </w:rPr>
  </w:style>
  <w:style w:type="paragraph" w:styleId="Sinespaciado">
    <w:name w:val="No Spacing"/>
    <w:qFormat/>
    <w:rPr>
      <w:color w:val="00000A"/>
    </w:rPr>
  </w:style>
  <w:style w:type="paragraph" w:customStyle="1" w:styleId="Encabezado5">
    <w:name w:val="Encabezado 5"/>
    <w:basedOn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notapie">
    <w:name w:val="footnote text"/>
    <w:basedOn w:val="Normal"/>
    <w:pPr>
      <w:spacing w:after="0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customStyle="1" w:styleId="Normal11">
    <w:name w:val="Normal11"/>
    <w:qFormat/>
  </w:style>
  <w:style w:type="numbering" w:customStyle="1" w:styleId="Ningunalista">
    <w:name w:val="Ninguna lista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804</Words>
  <Characters>4428</Characters>
  <Application>Microsoft Office Word</Application>
  <DocSecurity>0</DocSecurity>
  <Lines>36</Lines>
  <Paragraphs>10</Paragraphs>
  <ScaleCrop>false</ScaleCrop>
  <Company>ayto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121</cp:revision>
  <cp:lastPrinted>2025-05-06T12:19:00Z</cp:lastPrinted>
  <dcterms:created xsi:type="dcterms:W3CDTF">2008-04-18T08:06:00Z</dcterms:created>
  <dcterms:modified xsi:type="dcterms:W3CDTF">2025-05-26T12:51:00Z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