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b/>
          <w:bCs/>
          <w:sz w:val="40"/>
          <w:szCs w:val="40"/>
        </w:rPr>
      </w:pPr>
      <w:r>
        <w:rPr>
          <w:rFonts w:eastAsia="Cambria" w:ascii="Arial Narrow" w:hAnsi="Arial Narrow"/>
          <w:b/>
          <w:bCs/>
          <w:color w:val="00000A"/>
          <w:sz w:val="40"/>
          <w:szCs w:val="40"/>
          <w:lang w:eastAsia="en-US"/>
        </w:rPr>
        <w:t xml:space="preserve">El  </w:t>
      </w:r>
      <w:r>
        <w:rPr>
          <w:rFonts w:eastAsia="Cambria" w:ascii="Arial Narrow" w:hAnsi="Arial Narrow"/>
          <w:b/>
          <w:bCs/>
          <w:color w:val="00000A"/>
          <w:sz w:val="40"/>
          <w:szCs w:val="40"/>
          <w:lang w:eastAsia="en-US"/>
        </w:rPr>
        <w:t xml:space="preserve">volumen de residuos recogidos durante la Feria del Caballo asciende a 578,6 toneladas, casi un 7% más que en la edición del año pasado </w:t>
      </w:r>
    </w:p>
    <w:p>
      <w:pPr>
        <w:pStyle w:val="Normal"/>
        <w:rPr>
          <w:rFonts w:ascii="Arial Narrow" w:hAnsi="Arial Narrow" w:eastAsia="Cambria"/>
          <w:b w:val="false"/>
          <w:bCs w:val="false"/>
          <w:color w:val="00000A"/>
          <w:sz w:val="36"/>
          <w:szCs w:val="36"/>
          <w:lang w:eastAsia="en-US"/>
        </w:rPr>
      </w:pPr>
      <w:r>
        <w:rPr>
          <w:rFonts w:eastAsia="Cambria" w:cs="Arial Narrow" w:ascii="Arial Narrow" w:hAnsi="Arial Narrow"/>
          <w:b w:val="false"/>
          <w:bCs w:val="false"/>
          <w:color w:val="00000A"/>
          <w:kern w:val="0"/>
          <w:sz w:val="36"/>
          <w:szCs w:val="36"/>
          <w:lang w:val="es-ES" w:eastAsia="en-US" w:bidi="ar-SA"/>
        </w:rPr>
        <w:t xml:space="preserve">La recogida selectiva de vidrio en las casetas y contenedores </w:t>
      </w:r>
      <w:r>
        <w:rPr>
          <w:rFonts w:eastAsia="Cambria" w:cs="Arial Narrow" w:ascii="Arial Narrow" w:hAnsi="Arial Narrow"/>
          <w:b w:val="false"/>
          <w:bCs w:val="false"/>
          <w:color w:val="00000A"/>
          <w:kern w:val="0"/>
          <w:sz w:val="36"/>
          <w:szCs w:val="36"/>
          <w:lang w:val="es-ES" w:eastAsia="en-US" w:bidi="ar-SA"/>
        </w:rPr>
        <w:t xml:space="preserve">supone un incremento del 6% respecto </w:t>
      </w:r>
      <w:r>
        <w:rPr>
          <w:rFonts w:eastAsia="Cambria" w:cs="Arial Narrow" w:ascii="Arial Narrow" w:hAnsi="Arial Narrow"/>
          <w:b w:val="false"/>
          <w:bCs w:val="false"/>
          <w:color w:val="00000A"/>
          <w:kern w:val="0"/>
          <w:sz w:val="36"/>
          <w:szCs w:val="36"/>
          <w:lang w:val="es-ES" w:eastAsia="en-US" w:bidi="ar-SA"/>
        </w:rPr>
        <w:t>a la cifra de</w:t>
      </w:r>
      <w:r>
        <w:rPr>
          <w:rFonts w:eastAsia="Cambria" w:cs="Arial Narrow" w:ascii="Arial Narrow" w:hAnsi="Arial Narrow"/>
          <w:b w:val="false"/>
          <w:bCs w:val="false"/>
          <w:color w:val="00000A"/>
          <w:kern w:val="0"/>
          <w:sz w:val="36"/>
          <w:szCs w:val="36"/>
          <w:lang w:val="es-ES" w:eastAsia="en-US" w:bidi="ar-SA"/>
        </w:rPr>
        <w:t xml:space="preserve"> 2024 </w:t>
      </w:r>
    </w:p>
    <w:p>
      <w:pPr>
        <w:pStyle w:val="Normal"/>
        <w:rPr>
          <w:rFonts w:ascii="Arial Narrow" w:hAnsi="Arial Narrow" w:eastAsia="Cambria"/>
          <w:b w:val="false"/>
          <w:bCs w:val="false"/>
          <w:color w:val="00000A"/>
          <w:sz w:val="36"/>
          <w:szCs w:val="36"/>
          <w:lang w:eastAsia="en-US"/>
        </w:rPr>
      </w:pPr>
      <w:r>
        <w:rPr>
          <w:rFonts w:eastAsia="Cambria" w:cs="Arial Narrow" w:ascii="Arial Narrow" w:hAnsi="Arial Narrow"/>
          <w:b w:val="false"/>
          <w:bCs w:val="false"/>
          <w:color w:val="00000A"/>
          <w:kern w:val="0"/>
          <w:sz w:val="36"/>
          <w:szCs w:val="36"/>
          <w:lang w:val="es-ES" w:eastAsia="en-US" w:bidi="ar-SA"/>
        </w:rPr>
        <w:t>Jaime Espinar destaca que “la recogida ‘caseta a caseta’ ha sido muy positiva y ha permitido a los hosteleros participar en la recogida selectiva de forma cómoda y comprometida con el medio ambiente”</w:t>
      </w:r>
    </w:p>
    <w:p>
      <w:pPr>
        <w:pStyle w:val="Normal"/>
        <w:jc w:val="both"/>
        <w:rPr/>
      </w:pPr>
      <w:r>
        <w:rPr>
          <w:rFonts w:ascii="Arial Narrow" w:hAnsi="Arial Narrow"/>
          <w:b/>
          <w:bCs/>
          <w:sz w:val="26"/>
          <w:szCs w:val="26"/>
        </w:rPr>
        <w:t>26 de mayo de 2025.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La Delegación de Medio Ambiente ha informado sobre el volumen total de residuos recogidos durante la Feria del Caballo, que asciende a  578,6 toneladas,  lo que representa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casi </w:t>
      </w:r>
      <w:r>
        <w:rPr>
          <w:rFonts w:ascii="Arial Narrow" w:hAnsi="Arial Narrow"/>
          <w:sz w:val="26"/>
          <w:szCs w:val="26"/>
        </w:rPr>
        <w:t xml:space="preserve">un </w:t>
      </w:r>
      <w:r>
        <w:rPr>
          <w:rFonts w:ascii="Arial Narrow" w:hAnsi="Arial Narrow"/>
          <w:sz w:val="26"/>
          <w:szCs w:val="26"/>
        </w:rPr>
        <w:t>7</w:t>
      </w:r>
      <w:r>
        <w:rPr>
          <w:rFonts w:ascii="Arial Narrow" w:hAnsi="Arial Narrow"/>
          <w:sz w:val="26"/>
          <w:szCs w:val="26"/>
        </w:rPr>
        <w:t xml:space="preserve">% más que </w:t>
      </w:r>
      <w:r>
        <w:rPr>
          <w:rFonts w:ascii="Arial Narrow" w:hAnsi="Arial Narrow"/>
          <w:sz w:val="26"/>
          <w:szCs w:val="26"/>
        </w:rPr>
        <w:t>en la edición de</w:t>
      </w:r>
      <w:r>
        <w:rPr>
          <w:rFonts w:ascii="Arial Narrow" w:hAnsi="Arial Narrow"/>
          <w:sz w:val="26"/>
          <w:szCs w:val="26"/>
        </w:rPr>
        <w:t xml:space="preserve"> 2024. </w:t>
      </w:r>
      <w:r>
        <w:rPr>
          <w:rFonts w:ascii="Arial Narrow" w:hAnsi="Arial Narrow"/>
          <w:sz w:val="26"/>
          <w:szCs w:val="26"/>
        </w:rPr>
        <w:t xml:space="preserve"> 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El teniente de alcaldesa de Servicios Públicos y Medio Ambiente, Jaime Espinar, ha valorado de forma muy positiva estos datos que “ponen de relieve, por supuesto, que ha crecido la afluencia y el consumo en la Feria del Caballo y que está más que justificada la inversión y la introducción de novedades orientadas a la recogida selectiva y el reciclaje de residuos”. 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En este sentido, </w:t>
      </w:r>
      <w:r>
        <w:rPr>
          <w:rFonts w:ascii="Arial Narrow" w:hAnsi="Arial Narrow"/>
          <w:sz w:val="26"/>
          <w:szCs w:val="26"/>
        </w:rPr>
        <w:t xml:space="preserve">Jaime Espinar ha hecho hincapié en que “por primera vez en esta edición de la Feria  </w:t>
      </w:r>
      <w:r>
        <w:rPr>
          <w:rFonts w:ascii="Arial Narrow" w:hAnsi="Arial Narrow"/>
          <w:sz w:val="26"/>
          <w:szCs w:val="26"/>
        </w:rPr>
        <w:t xml:space="preserve">de 2025 </w:t>
      </w:r>
      <w:r>
        <w:rPr>
          <w:rFonts w:ascii="Arial Narrow" w:hAnsi="Arial Narrow"/>
          <w:sz w:val="26"/>
          <w:szCs w:val="26"/>
        </w:rPr>
        <w:t>se ha reforzado la recogida de papel y cartón, envases li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geros y vidrio, con un servicio ‘caseta a caseta’ en un horario establecido, con el objetivo de que la Feria del Caballo de un paso más hacia la sostenibilidad”. Esta iniciativa “ha sido muy positiva a la luz de los datos y ha permitido a los caseteros participar en la recogida selectiva de residuos de una forma más cómoda y eficaz y de acuerdo con el compromiso que todos tenemos con la sostenibilidad y el cuidado del medio ambiente”.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El teniente de alcaldesa ha destacado la coordinación existente entre los trabajadores municipales y los de la UTE de limpieza, Ecovidrio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y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Ecoembes  y ha dado las gracias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por su colaboración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a todas las partes implicadas, entre ellos, los propios hosteleros y caseteros “por la gran labor que han desarrollado durante la Feria del Caballo y el servicio de calidad que han prestado a la ciudadanía”.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Sobre la recogida selectiva de residuos,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Jaime Espinar ha añadido que “como ciudad comprometida con el medio ambiente que somos, vamos a continuar trabajando para mejorar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l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as cifras durante todo el año, porque la recogida selectiva  para el reciclaje ofrece importantes beneficios ambientales: reduce la demanda de materias primas y con ello la contaminación del aire y del agua,  reduce las emisiones de gases de efecto invernadero, evita la necesidad de vertederos y promueve la economía circular”. </w:t>
      </w:r>
    </w:p>
    <w:p>
      <w:pPr>
        <w:pStyle w:val="Normal"/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eastAsia="Arial" w:cs="Arial Narrow" w:ascii="Arial Narrow" w:hAnsi="Arial Narrow"/>
          <w:b/>
          <w:bCs/>
          <w:color w:val="00000A"/>
          <w:kern w:val="0"/>
          <w:sz w:val="26"/>
          <w:szCs w:val="26"/>
          <w:lang w:val="es-ES" w:eastAsia="es-ES_tradnl" w:bidi="ar-SA"/>
        </w:rPr>
        <w:t>Recogida selectiva de vidrio</w:t>
      </w:r>
    </w:p>
    <w:p>
      <w:pPr>
        <w:pStyle w:val="Normal"/>
        <w:jc w:val="both"/>
        <w:rPr>
          <w:rFonts w:ascii="Arial Narrow" w:hAnsi="Arial Narrow" w:eastAsia="Arial" w:cs="Arial Narrow"/>
          <w:color w:val="00000A"/>
          <w:kern w:val="0"/>
          <w:sz w:val="26"/>
          <w:szCs w:val="26"/>
          <w:lang w:val="es-ES" w:eastAsia="es-ES_tradnl" w:bidi="ar-SA"/>
        </w:rPr>
      </w:pPr>
      <w:r>
        <w:rPr>
          <w:rFonts w:eastAsia="Arial" w:cs="Arial Narrow" w:ascii="Arial Narrow" w:hAnsi="Arial Narrow"/>
          <w:color w:val="00000A"/>
          <w:kern w:val="0"/>
          <w:sz w:val="26"/>
          <w:szCs w:val="26"/>
          <w:lang w:val="es-ES" w:eastAsia="es-ES_tradnl" w:bidi="ar-SA"/>
        </w:rPr>
        <w:t xml:space="preserve">El volumen de recogida de vidrio procedente de la Feria del Caballo ha batido un nuevo récord con casi 104 toneladas, lo que supone un incremento del 6% respecto al año 2024 y casi un 13% más que en 2023.  Jaime Espinar, ha calificado los datos de este 2025 como “espectaculares” y ha destacado la evolución ascendente que viene experimentando, año tras año, el volumen de esta recogida selectiva. </w:t>
      </w:r>
    </w:p>
    <w:p>
      <w:pPr>
        <w:pStyle w:val="Normal"/>
        <w:jc w:val="both"/>
        <w:rPr>
          <w:rFonts w:ascii="Arial Narrow" w:hAnsi="Arial Narrow" w:eastAsia="Arial" w:cs="Arial Narrow"/>
          <w:color w:val="00000A"/>
          <w:kern w:val="0"/>
          <w:sz w:val="26"/>
          <w:szCs w:val="26"/>
          <w:lang w:val="es-ES" w:eastAsia="es-ES_tradnl" w:bidi="ar-SA"/>
        </w:rPr>
      </w:pPr>
      <w:r>
        <w:rPr>
          <w:rFonts w:eastAsia="Arial" w:cs="Arial Narrow" w:ascii="Arial Narrow" w:hAnsi="Arial Narrow"/>
          <w:color w:val="00000A"/>
          <w:kern w:val="0"/>
          <w:sz w:val="26"/>
          <w:szCs w:val="26"/>
          <w:lang w:val="es-ES" w:eastAsia="es-ES_tradnl" w:bidi="ar-SA"/>
        </w:rPr>
      </w:r>
    </w:p>
    <w:p>
      <w:pPr>
        <w:pStyle w:val="Normal"/>
        <w:jc w:val="both"/>
        <w:rPr>
          <w:rFonts w:ascii="Arial Narrow" w:hAnsi="Arial Narrow" w:eastAsia="Arial" w:cs="Arial Narrow"/>
          <w:color w:val="00000A"/>
          <w:kern w:val="0"/>
          <w:sz w:val="26"/>
          <w:szCs w:val="26"/>
          <w:lang w:val="es-ES" w:eastAsia="es-ES_tradnl" w:bidi="ar-SA"/>
        </w:rPr>
      </w:pPr>
      <w:r>
        <w:rPr>
          <w:rFonts w:eastAsia="Arial" w:cs="Arial Narrow" w:ascii="Arial Narrow" w:hAnsi="Arial Narrow"/>
          <w:color w:val="00000A"/>
          <w:kern w:val="0"/>
          <w:sz w:val="26"/>
          <w:szCs w:val="26"/>
          <w:lang w:val="es-ES" w:eastAsia="es-ES_tradnl" w:bidi="ar-SA"/>
        </w:rPr>
        <w:t>(Se adjunta fotografía)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42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42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Hyperlink">
    <w:name w:val="Hyperlink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-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-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1" w:customStyle="1">
    <w:name w:val="caption111"/>
    <w:basedOn w:val="Normal"/>
    <w:qFormat/>
    <w:pPr>
      <w:spacing w:before="120" w:after="120"/>
    </w:pPr>
    <w:rPr>
      <w:i/>
      <w:iCs/>
    </w:rPr>
  </w:style>
  <w:style w:type="paragraph" w:styleId="Caption12" w:customStyle="1">
    <w:name w:val="caption12"/>
    <w:basedOn w:val="Normal"/>
    <w:qFormat/>
    <w:pPr>
      <w:spacing w:before="120" w:after="120"/>
    </w:pPr>
    <w:rPr>
      <w:i/>
      <w:iCs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_tradn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LibreOffice/7.6.7.2$Windows_X86_64 LibreOffice_project/dd47e4b30cb7dab30588d6c79c651f218165e3c5</Application>
  <AppVersion>15.0000</AppVersion>
  <Pages>2</Pages>
  <Words>512</Words>
  <Characters>2496</Characters>
  <CharactersWithSpaces>3015</CharactersWithSpaces>
  <Paragraphs>15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2025-05-02T07:07:00Z</dcterms:created>
  <dc:creator>José María Vega Soto</dc:creator>
  <dc:description/>
  <dc:language>es-ES</dc:language>
  <cp:lastModifiedBy/>
  <dcterms:modified xsi:type="dcterms:W3CDTF">2025-05-26T14:43:05Z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