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714CE" w:rsidRDefault="00C714CE">
      <w:pPr>
        <w:spacing w:after="0"/>
        <w:rPr>
          <w:rFonts w:ascii="Arial Narrow" w:hAnsi="Arial Narrow"/>
          <w:b/>
          <w:sz w:val="40"/>
          <w:szCs w:val="40"/>
        </w:rPr>
      </w:pPr>
    </w:p>
    <w:p w:rsidR="00C714CE" w:rsidRDefault="005F145B">
      <w:pPr>
        <w:spacing w:after="0"/>
        <w:ind w:right="-567"/>
      </w:pPr>
      <w:r>
        <w:rPr>
          <w:rFonts w:ascii="Arial Narrow" w:hAnsi="Arial Narrow"/>
          <w:b/>
          <w:sz w:val="40"/>
          <w:szCs w:val="40"/>
        </w:rPr>
        <w:t>Jerez adoptará medidas para favorecer la construcción de viviendas asequibles</w:t>
      </w:r>
    </w:p>
    <w:p w:rsidR="00C714CE" w:rsidRDefault="00C714CE">
      <w:pPr>
        <w:spacing w:after="0"/>
        <w:ind w:right="-567"/>
        <w:rPr>
          <w:rFonts w:ascii="Arial Narrow" w:hAnsi="Arial Narrow"/>
          <w:b/>
          <w:sz w:val="32"/>
          <w:szCs w:val="32"/>
        </w:rPr>
      </w:pPr>
    </w:p>
    <w:p w:rsidR="00C714CE" w:rsidRDefault="005F145B">
      <w:pPr>
        <w:spacing w:after="0"/>
        <w:ind w:right="-425"/>
        <w:jc w:val="both"/>
        <w:rPr>
          <w:rFonts w:ascii="Arial Narrow" w:hAnsi="Arial Narrow"/>
          <w:bCs/>
          <w:sz w:val="32"/>
          <w:szCs w:val="32"/>
        </w:rPr>
      </w:pPr>
      <w:r>
        <w:rPr>
          <w:rFonts w:ascii="Arial Narrow" w:hAnsi="Arial Narrow"/>
          <w:bCs/>
          <w:sz w:val="32"/>
          <w:szCs w:val="32"/>
        </w:rPr>
        <w:t>El Pleno aprueba adherirse al Decreto-ley 1/2025 de la Junta de Andalucía para impulsar y agilizar la promoción de vivienda protegida en todo el término municipal</w:t>
      </w:r>
    </w:p>
    <w:p w:rsidR="00C714CE" w:rsidRDefault="00C714CE">
      <w:pPr>
        <w:pStyle w:val="Textoindependiente"/>
        <w:spacing w:line="240" w:lineRule="auto"/>
        <w:ind w:right="-425"/>
        <w:rPr>
          <w:rFonts w:ascii="Arial Narrow" w:hAnsi="Arial Narrow"/>
          <w:color w:val="auto"/>
          <w:sz w:val="32"/>
          <w:szCs w:val="32"/>
        </w:rPr>
      </w:pPr>
    </w:p>
    <w:p w:rsidR="00C714CE" w:rsidRDefault="005F145B">
      <w:pPr>
        <w:pStyle w:val="western"/>
        <w:spacing w:after="0"/>
        <w:ind w:right="-425"/>
        <w:jc w:val="both"/>
        <w:rPr>
          <w:rFonts w:ascii="Arial Narrow" w:hAnsi="Arial Narrow"/>
          <w:sz w:val="26"/>
          <w:szCs w:val="26"/>
        </w:rPr>
      </w:pPr>
      <w:r>
        <w:rPr>
          <w:rFonts w:ascii="Arial Narrow" w:hAnsi="Arial Narrow"/>
          <w:b/>
          <w:bCs/>
          <w:color w:val="auto"/>
          <w:sz w:val="26"/>
          <w:szCs w:val="26"/>
        </w:rPr>
        <w:t xml:space="preserve">30 de mayo </w:t>
      </w:r>
      <w:r>
        <w:rPr>
          <w:rFonts w:ascii="Arial Narrow" w:hAnsi="Arial Narrow"/>
          <w:b/>
          <w:bCs/>
          <w:color w:val="auto"/>
          <w:sz w:val="26"/>
          <w:szCs w:val="26"/>
        </w:rPr>
        <w:t>de 2025.</w:t>
      </w:r>
      <w:r>
        <w:rPr>
          <w:rFonts w:ascii="Arial Narrow" w:hAnsi="Arial Narrow"/>
          <w:color w:val="auto"/>
          <w:sz w:val="26"/>
          <w:szCs w:val="26"/>
        </w:rPr>
        <w:t xml:space="preserve"> </w:t>
      </w:r>
      <w:r>
        <w:rPr>
          <w:rFonts w:ascii="Arial Narrow" w:hAnsi="Arial Narrow"/>
          <w:color w:val="auto"/>
          <w:spacing w:val="-3"/>
          <w:kern w:val="2"/>
          <w:sz w:val="26"/>
          <w:szCs w:val="26"/>
          <w:lang w:val="es-MX"/>
        </w:rPr>
        <w:tab/>
        <w:t>El Pleno Municipal ha aprobado por unanimidad la adhesión del Ayuntamiento de Jerez al Decreto-Ley 1/2035 de 24 de febrero de la Junta de Andalucía para favorecer y agilizar la promoción de viviendas protegidas en todo el término municipal de Jer</w:t>
      </w:r>
      <w:r>
        <w:rPr>
          <w:rFonts w:ascii="Arial Narrow" w:hAnsi="Arial Narrow"/>
          <w:color w:val="auto"/>
          <w:spacing w:val="-3"/>
          <w:kern w:val="2"/>
          <w:sz w:val="26"/>
          <w:szCs w:val="26"/>
          <w:lang w:val="es-MX"/>
        </w:rPr>
        <w:t>ez. Esta normativa, que entró en vigor el pasado 4 de marzo, tiene entre sus objetivos incentivar la promoción de viviendas protegidas en Andalucía en un plazo de tiempo más reducido, aumentar la oferta de suelo disponible en el territorio andaluz</w:t>
      </w:r>
      <w:bookmarkStart w:id="0" w:name="_GoBack"/>
      <w:bookmarkEnd w:id="0"/>
      <w:r>
        <w:rPr>
          <w:rFonts w:ascii="Arial Narrow" w:hAnsi="Arial Narrow"/>
          <w:color w:val="auto"/>
          <w:spacing w:val="-3"/>
          <w:kern w:val="2"/>
          <w:sz w:val="26"/>
          <w:szCs w:val="26"/>
          <w:lang w:val="es-MX"/>
        </w:rPr>
        <w:t xml:space="preserve"> así com</w:t>
      </w:r>
      <w:r>
        <w:rPr>
          <w:rFonts w:ascii="Arial Narrow" w:hAnsi="Arial Narrow"/>
          <w:color w:val="auto"/>
          <w:spacing w:val="-3"/>
          <w:kern w:val="2"/>
          <w:sz w:val="26"/>
          <w:szCs w:val="26"/>
          <w:lang w:val="es-MX"/>
        </w:rPr>
        <w:t xml:space="preserve">o incrementar el número máximo permitido de viviendas protegidas en cada parcela urbana. Y todo ello, tal y como ha resaltado la delegada de Urbanismo y Vivienda, Belén de la Cuadra, “con la gran ventaja de no necesitar llevar a cabo modificaciones de los </w:t>
      </w:r>
      <w:r>
        <w:rPr>
          <w:rFonts w:ascii="Arial Narrow" w:hAnsi="Arial Narrow"/>
          <w:color w:val="auto"/>
          <w:spacing w:val="-3"/>
          <w:kern w:val="2"/>
          <w:sz w:val="26"/>
          <w:szCs w:val="26"/>
          <w:lang w:val="es-MX"/>
        </w:rPr>
        <w:t>instrumentos de ordenación urbanística de los ayuntamientos que se adhieran a este Decreto, por lo que la aplicación de estas medid</w:t>
      </w:r>
      <w:bookmarkStart w:id="1" w:name="_GoBack_Copia_1"/>
      <w:bookmarkEnd w:id="1"/>
      <w:r>
        <w:rPr>
          <w:rFonts w:ascii="Arial Narrow" w:hAnsi="Arial Narrow"/>
          <w:color w:val="auto"/>
          <w:spacing w:val="-3"/>
          <w:kern w:val="2"/>
          <w:sz w:val="26"/>
          <w:szCs w:val="26"/>
          <w:lang w:val="es-MX"/>
        </w:rPr>
        <w:t xml:space="preserve">as tiene un efecto inmediato”. </w:t>
      </w:r>
    </w:p>
    <w:p w:rsidR="00C714CE" w:rsidRDefault="00C714CE">
      <w:pPr>
        <w:pStyle w:val="western"/>
        <w:spacing w:after="0"/>
        <w:ind w:right="-425"/>
        <w:jc w:val="both"/>
        <w:rPr>
          <w:color w:val="auto"/>
          <w:spacing w:val="-3"/>
          <w:kern w:val="2"/>
          <w:lang w:val="es-MX"/>
        </w:rPr>
      </w:pPr>
    </w:p>
    <w:p w:rsidR="00C714CE" w:rsidRDefault="005F145B">
      <w:pPr>
        <w:pStyle w:val="western"/>
        <w:spacing w:after="0"/>
        <w:ind w:right="-425"/>
        <w:jc w:val="both"/>
        <w:rPr>
          <w:rFonts w:ascii="Arial Narrow" w:hAnsi="Arial Narrow"/>
          <w:sz w:val="26"/>
          <w:szCs w:val="26"/>
        </w:rPr>
      </w:pPr>
      <w:r>
        <w:rPr>
          <w:rFonts w:ascii="Arial Narrow" w:hAnsi="Arial Narrow" w:cs="Calibri"/>
          <w:color w:val="auto"/>
          <w:spacing w:val="-3"/>
          <w:kern w:val="2"/>
          <w:sz w:val="26"/>
          <w:szCs w:val="26"/>
        </w:rPr>
        <w:t>En concreto, el acuerdo aprobado contempla la adopción de varias medidas contenidas en los a</w:t>
      </w:r>
      <w:r>
        <w:rPr>
          <w:rFonts w:ascii="Arial Narrow" w:hAnsi="Arial Narrow" w:cs="Calibri"/>
          <w:color w:val="auto"/>
          <w:spacing w:val="-3"/>
          <w:kern w:val="2"/>
          <w:sz w:val="26"/>
          <w:szCs w:val="26"/>
        </w:rPr>
        <w:t xml:space="preserve">partados 3 y 4 del artículo 2 de este Decreto Ley, que lleva por título </w:t>
      </w:r>
      <w:r>
        <w:rPr>
          <w:rFonts w:ascii="Arial Narrow" w:hAnsi="Arial Narrow" w:cs="Calibri"/>
          <w:i/>
          <w:iCs/>
          <w:color w:val="auto"/>
          <w:spacing w:val="-3"/>
          <w:kern w:val="2"/>
          <w:sz w:val="26"/>
          <w:szCs w:val="26"/>
        </w:rPr>
        <w:t>Medidas en materia de suelo para la promoción de vivienda protegida.</w:t>
      </w:r>
      <w:r>
        <w:rPr>
          <w:rFonts w:ascii="Arial Narrow" w:hAnsi="Arial Narrow" w:cs="Calibri"/>
          <w:color w:val="auto"/>
          <w:spacing w:val="-3"/>
          <w:kern w:val="2"/>
          <w:sz w:val="26"/>
          <w:szCs w:val="26"/>
        </w:rPr>
        <w:t xml:space="preserve"> </w:t>
      </w:r>
      <w:r>
        <w:rPr>
          <w:rFonts w:ascii="Arial Narrow" w:hAnsi="Arial Narrow" w:cs="Calibri"/>
          <w:color w:val="auto"/>
          <w:sz w:val="26"/>
          <w:szCs w:val="26"/>
        </w:rPr>
        <w:t>Como ha explicado la delegada de Urbanismo, “esta propuesta refleja el compromiso de la alcaldesa, María José Garcí</w:t>
      </w:r>
      <w:r>
        <w:rPr>
          <w:rFonts w:ascii="Arial Narrow" w:hAnsi="Arial Narrow" w:cs="Calibri"/>
          <w:color w:val="auto"/>
          <w:sz w:val="26"/>
          <w:szCs w:val="26"/>
        </w:rPr>
        <w:t xml:space="preserve">a-Pelayo, de impulsar la construcción de vivienda asequible en Jerez y este Decreto al que nos acogemos ofrece importantes incentivos que creemos pueden ser efectivos para lograr este objetivo”. </w:t>
      </w:r>
    </w:p>
    <w:p w:rsidR="00C714CE" w:rsidRDefault="00C714CE">
      <w:pPr>
        <w:widowControl w:val="0"/>
        <w:spacing w:after="0"/>
        <w:ind w:right="-454"/>
        <w:contextualSpacing/>
        <w:jc w:val="both"/>
        <w:rPr>
          <w:rFonts w:eastAsia="Calibri" w:cs="Calibri"/>
          <w:color w:val="auto"/>
        </w:rPr>
      </w:pPr>
    </w:p>
    <w:p w:rsidR="00C714CE" w:rsidRDefault="005F145B">
      <w:pPr>
        <w:widowControl w:val="0"/>
        <w:spacing w:after="0"/>
        <w:ind w:right="-454"/>
        <w:contextualSpacing/>
        <w:jc w:val="both"/>
        <w:rPr>
          <w:rFonts w:ascii="Arial Narrow" w:hAnsi="Arial Narrow"/>
          <w:sz w:val="26"/>
          <w:szCs w:val="26"/>
        </w:rPr>
      </w:pPr>
      <w:r>
        <w:rPr>
          <w:rFonts w:ascii="Arial Narrow" w:eastAsia="Calibri" w:hAnsi="Arial Narrow" w:cs="Calibri"/>
          <w:color w:val="auto"/>
          <w:sz w:val="26"/>
          <w:szCs w:val="26"/>
        </w:rPr>
        <w:t>La propuesta incluye varios acuerdos, entre los que figura,</w:t>
      </w:r>
      <w:r>
        <w:rPr>
          <w:rFonts w:ascii="Arial Narrow" w:eastAsia="Calibri" w:hAnsi="Arial Narrow" w:cs="Calibri"/>
          <w:color w:val="auto"/>
          <w:sz w:val="26"/>
          <w:szCs w:val="26"/>
        </w:rPr>
        <w:t xml:space="preserve"> en primer lugar, autorizar un incremento de</w:t>
      </w:r>
      <w:r>
        <w:rPr>
          <w:rFonts w:ascii="Arial Narrow" w:hAnsi="Arial Narrow"/>
          <w:color w:val="auto"/>
          <w:sz w:val="26"/>
          <w:szCs w:val="26"/>
        </w:rPr>
        <w:t xml:space="preserve"> un 20% el número de viviendas permitidas en una parcela de vivienda de renta libre, siempre que ésta se destine en su totalidad a vivienda que tenga algún régimen de protección. “Con ello favorecemos que el prom</w:t>
      </w:r>
      <w:r>
        <w:rPr>
          <w:rFonts w:ascii="Arial Narrow" w:hAnsi="Arial Narrow"/>
          <w:color w:val="auto"/>
          <w:sz w:val="26"/>
          <w:szCs w:val="26"/>
        </w:rPr>
        <w:t xml:space="preserve">otor considere viable y factible su inversión, ya que en una misma parcela podrá construir más viviendas que las previstas en un principio”, ha señalado Belén de la Cuadra. </w:t>
      </w:r>
    </w:p>
    <w:p w:rsidR="00C714CE" w:rsidRDefault="00C714CE">
      <w:pPr>
        <w:widowControl w:val="0"/>
        <w:spacing w:after="0"/>
        <w:ind w:right="-454"/>
        <w:contextualSpacing/>
        <w:jc w:val="both"/>
        <w:rPr>
          <w:rFonts w:ascii="Arial Narrow" w:hAnsi="Arial Narrow"/>
          <w:color w:val="auto"/>
          <w:sz w:val="26"/>
          <w:szCs w:val="26"/>
        </w:rPr>
      </w:pPr>
    </w:p>
    <w:p w:rsidR="00C714CE" w:rsidRDefault="005F145B">
      <w:pPr>
        <w:widowControl w:val="0"/>
        <w:spacing w:after="0"/>
        <w:ind w:right="-454"/>
        <w:contextualSpacing/>
        <w:jc w:val="both"/>
        <w:rPr>
          <w:rFonts w:ascii="Arial Narrow" w:hAnsi="Arial Narrow"/>
          <w:sz w:val="26"/>
          <w:szCs w:val="26"/>
        </w:rPr>
      </w:pPr>
      <w:r>
        <w:rPr>
          <w:rFonts w:ascii="Arial Narrow" w:hAnsi="Arial Narrow"/>
          <w:color w:val="auto"/>
          <w:sz w:val="26"/>
          <w:szCs w:val="26"/>
        </w:rPr>
        <w:t>En segundo lugar, en el caso de parcelas destinadas en origen a vivienda protegid</w:t>
      </w:r>
      <w:r>
        <w:rPr>
          <w:rFonts w:ascii="Arial Narrow" w:hAnsi="Arial Narrow"/>
          <w:color w:val="auto"/>
          <w:sz w:val="26"/>
          <w:szCs w:val="26"/>
        </w:rPr>
        <w:t xml:space="preserve">a, el número de viviendas se puede incrementar igualmente en un 20% y su edificabilidad en un 10%; el acuerdo de Pleno contempla en tercer lugar posibilitar el cambio de uso a residencial de vivienda protegida en aquellas parcelas o edificios destinados a </w:t>
      </w:r>
      <w:r>
        <w:rPr>
          <w:rFonts w:ascii="Arial Narrow" w:hAnsi="Arial Narrow"/>
          <w:color w:val="auto"/>
          <w:sz w:val="26"/>
          <w:szCs w:val="26"/>
        </w:rPr>
        <w:t xml:space="preserve">oficinas o alojamiento turístico. </w:t>
      </w:r>
    </w:p>
    <w:p w:rsidR="00C714CE" w:rsidRDefault="00C714CE">
      <w:pPr>
        <w:widowControl w:val="0"/>
        <w:spacing w:after="0"/>
        <w:ind w:right="-454"/>
        <w:contextualSpacing/>
        <w:jc w:val="both"/>
        <w:rPr>
          <w:rFonts w:ascii="Arial Narrow" w:hAnsi="Arial Narrow"/>
          <w:color w:val="auto"/>
          <w:sz w:val="26"/>
          <w:szCs w:val="26"/>
        </w:rPr>
      </w:pPr>
    </w:p>
    <w:p w:rsidR="00C714CE" w:rsidRDefault="005F145B">
      <w:pPr>
        <w:pStyle w:val="western"/>
        <w:spacing w:after="0"/>
        <w:ind w:right="-425"/>
        <w:jc w:val="both"/>
        <w:rPr>
          <w:rFonts w:ascii="Arial Narrow" w:hAnsi="Arial Narrow"/>
          <w:sz w:val="26"/>
          <w:szCs w:val="26"/>
        </w:rPr>
      </w:pPr>
      <w:r>
        <w:rPr>
          <w:rFonts w:ascii="Arial Narrow" w:hAnsi="Arial Narrow" w:cs="Calibri"/>
          <w:color w:val="auto"/>
          <w:sz w:val="26"/>
          <w:szCs w:val="26"/>
        </w:rPr>
        <w:lastRenderedPageBreak/>
        <w:t xml:space="preserve">Para Belén de la Cuadra, “el </w:t>
      </w:r>
      <w:r>
        <w:rPr>
          <w:rFonts w:ascii="Arial Narrow" w:hAnsi="Arial Narrow"/>
          <w:color w:val="auto"/>
          <w:spacing w:val="-3"/>
          <w:kern w:val="2"/>
          <w:sz w:val="26"/>
          <w:szCs w:val="26"/>
          <w:lang w:val="es-MX"/>
        </w:rPr>
        <w:t>incremento del número de viviendas que se pueden construir en terrenos que se destinen a vivienda protegida constituye un importante atractivo para incentivar su construcción. Además -ha resa</w:t>
      </w:r>
      <w:r>
        <w:rPr>
          <w:rFonts w:ascii="Arial Narrow" w:hAnsi="Arial Narrow"/>
          <w:color w:val="auto"/>
          <w:spacing w:val="-3"/>
          <w:kern w:val="2"/>
          <w:sz w:val="26"/>
          <w:szCs w:val="26"/>
          <w:lang w:val="es-MX"/>
        </w:rPr>
        <w:t>ltado la delegada- este aumento de densidad de vivienda permitirá a la ciudad disponer de un mayor potencial de oferta con el mismo suelo disponible”.</w:t>
      </w:r>
    </w:p>
    <w:p w:rsidR="00C714CE" w:rsidRDefault="00C714CE">
      <w:pPr>
        <w:pStyle w:val="western"/>
        <w:spacing w:after="0"/>
        <w:ind w:right="-425"/>
        <w:jc w:val="both"/>
        <w:rPr>
          <w:rFonts w:ascii="Arial Narrow" w:hAnsi="Arial Narrow"/>
          <w:color w:val="auto"/>
          <w:spacing w:val="-3"/>
          <w:kern w:val="2"/>
          <w:sz w:val="26"/>
          <w:szCs w:val="26"/>
          <w:lang w:val="es-MX"/>
        </w:rPr>
      </w:pPr>
    </w:p>
    <w:p w:rsidR="00C714CE" w:rsidRDefault="005F145B">
      <w:pPr>
        <w:widowControl w:val="0"/>
        <w:spacing w:after="0"/>
        <w:ind w:right="-454"/>
        <w:contextualSpacing/>
        <w:jc w:val="both"/>
        <w:rPr>
          <w:rFonts w:ascii="Arial Narrow" w:hAnsi="Arial Narrow"/>
          <w:sz w:val="26"/>
          <w:szCs w:val="26"/>
        </w:rPr>
      </w:pPr>
      <w:r>
        <w:rPr>
          <w:rFonts w:ascii="Arial Narrow" w:eastAsia="Calibri" w:hAnsi="Arial Narrow" w:cs="Calibri"/>
          <w:color w:val="auto"/>
          <w:sz w:val="26"/>
          <w:szCs w:val="26"/>
        </w:rPr>
        <w:t xml:space="preserve">Tal y como ha explicado, </w:t>
      </w:r>
      <w:r>
        <w:rPr>
          <w:rFonts w:ascii="Arial Narrow" w:hAnsi="Arial Narrow"/>
          <w:color w:val="auto"/>
          <w:sz w:val="26"/>
          <w:szCs w:val="26"/>
        </w:rPr>
        <w:t>los promotores de viviendas que quieran beneficiarse de estas medidas extraordi</w:t>
      </w:r>
      <w:r>
        <w:rPr>
          <w:rFonts w:ascii="Arial Narrow" w:hAnsi="Arial Narrow"/>
          <w:color w:val="auto"/>
          <w:sz w:val="26"/>
          <w:szCs w:val="26"/>
        </w:rPr>
        <w:t xml:space="preserve">narias adoptadas por el Pleno tienen un plazo límite de 2 años (hasta el 30 de mayo de 2027) para solicitar la preceptiva licencia de obras y calificación provisional de sus proyectos y, desde la concesión de la licencia de Obras, podrán disponer de hasta </w:t>
      </w:r>
      <w:r>
        <w:rPr>
          <w:rFonts w:ascii="Arial Narrow" w:hAnsi="Arial Narrow"/>
          <w:color w:val="auto"/>
          <w:sz w:val="26"/>
          <w:szCs w:val="26"/>
        </w:rPr>
        <w:t xml:space="preserve">3 años para terminar las respectivas obras. </w:t>
      </w:r>
    </w:p>
    <w:p w:rsidR="00C714CE" w:rsidRDefault="00C714CE">
      <w:pPr>
        <w:widowControl w:val="0"/>
        <w:spacing w:after="0"/>
        <w:ind w:right="-454"/>
        <w:contextualSpacing/>
        <w:jc w:val="both"/>
        <w:rPr>
          <w:rFonts w:ascii="Arial Narrow" w:hAnsi="Arial Narrow"/>
          <w:sz w:val="26"/>
          <w:szCs w:val="26"/>
        </w:rPr>
      </w:pPr>
    </w:p>
    <w:p w:rsidR="00C714CE" w:rsidRDefault="005F145B">
      <w:pPr>
        <w:widowControl w:val="0"/>
        <w:spacing w:after="0"/>
        <w:ind w:right="-454"/>
        <w:contextualSpacing/>
        <w:jc w:val="both"/>
        <w:rPr>
          <w:rFonts w:ascii="Arial Narrow" w:hAnsi="Arial Narrow"/>
          <w:sz w:val="26"/>
          <w:szCs w:val="26"/>
        </w:rPr>
      </w:pPr>
      <w:r>
        <w:rPr>
          <w:rFonts w:ascii="Arial Narrow" w:hAnsi="Arial Narrow"/>
          <w:b/>
          <w:bCs/>
          <w:color w:val="auto"/>
          <w:sz w:val="26"/>
          <w:szCs w:val="26"/>
        </w:rPr>
        <w:t>Bolsa de suelo para viviendas asequibles y asistencia a los promotores interesados</w:t>
      </w:r>
    </w:p>
    <w:p w:rsidR="00C714CE" w:rsidRDefault="00C714CE">
      <w:pPr>
        <w:widowControl w:val="0"/>
        <w:spacing w:after="0"/>
        <w:ind w:right="-454"/>
        <w:contextualSpacing/>
        <w:jc w:val="both"/>
        <w:rPr>
          <w:color w:val="auto"/>
        </w:rPr>
      </w:pPr>
    </w:p>
    <w:p w:rsidR="00C714CE" w:rsidRDefault="005F145B">
      <w:pPr>
        <w:widowControl w:val="0"/>
        <w:spacing w:after="0"/>
        <w:ind w:right="-454"/>
        <w:contextualSpacing/>
        <w:jc w:val="both"/>
        <w:rPr>
          <w:rFonts w:ascii="Arial Narrow" w:hAnsi="Arial Narrow"/>
          <w:sz w:val="26"/>
          <w:szCs w:val="26"/>
        </w:rPr>
      </w:pPr>
      <w:r>
        <w:rPr>
          <w:rFonts w:ascii="Arial Narrow" w:hAnsi="Arial Narrow"/>
          <w:color w:val="auto"/>
          <w:sz w:val="26"/>
          <w:szCs w:val="26"/>
        </w:rPr>
        <w:t>Por otro lado, y al hilo también de este asunto, Belén de la Cuadra ha informado al Pleno de que el Ayuntamiento ya ha remitid</w:t>
      </w:r>
      <w:r>
        <w:rPr>
          <w:rFonts w:ascii="Arial Narrow" w:hAnsi="Arial Narrow"/>
          <w:color w:val="auto"/>
          <w:sz w:val="26"/>
          <w:szCs w:val="26"/>
        </w:rPr>
        <w:t>o a la Junta de Andalucía un listado de las parcelas disponibles en todo el término municipal de Jerez para construir viviendas asequibles. “Este listado se ha estado trabajando de la mano con la Junta con reuniones semanales y considero que se ha hecho un</w:t>
      </w:r>
      <w:r>
        <w:rPr>
          <w:rFonts w:ascii="Arial Narrow" w:hAnsi="Arial Narrow"/>
          <w:color w:val="auto"/>
          <w:sz w:val="26"/>
          <w:szCs w:val="26"/>
        </w:rPr>
        <w:t xml:space="preserve"> buen trabajo. Estamos trasladando esta información a los promotores para animarlos a invertir. Creo que hay interés y será muy positivo para la ciudad”. </w:t>
      </w:r>
    </w:p>
    <w:p w:rsidR="00C714CE" w:rsidRDefault="00C714CE">
      <w:pPr>
        <w:widowControl w:val="0"/>
        <w:spacing w:after="0"/>
        <w:ind w:right="-454"/>
        <w:contextualSpacing/>
        <w:jc w:val="both"/>
        <w:rPr>
          <w:rFonts w:ascii="Arial Narrow" w:hAnsi="Arial Narrow"/>
          <w:color w:val="auto"/>
          <w:sz w:val="26"/>
          <w:szCs w:val="26"/>
        </w:rPr>
      </w:pPr>
    </w:p>
    <w:p w:rsidR="00C714CE" w:rsidRDefault="005F145B">
      <w:pPr>
        <w:widowControl w:val="0"/>
        <w:spacing w:after="0"/>
        <w:ind w:right="-454"/>
        <w:contextualSpacing/>
        <w:jc w:val="both"/>
        <w:rPr>
          <w:rFonts w:ascii="Arial Narrow" w:hAnsi="Arial Narrow"/>
          <w:sz w:val="26"/>
          <w:szCs w:val="26"/>
        </w:rPr>
      </w:pPr>
      <w:r>
        <w:rPr>
          <w:rFonts w:ascii="Arial Narrow" w:hAnsi="Arial Narrow"/>
          <w:color w:val="auto"/>
          <w:sz w:val="26"/>
          <w:szCs w:val="26"/>
        </w:rPr>
        <w:t>Además, ha avanzado que la Delegación de Urbanismo habilitará un espacio web municipal en el que ofr</w:t>
      </w:r>
      <w:r>
        <w:rPr>
          <w:rFonts w:ascii="Arial Narrow" w:hAnsi="Arial Narrow"/>
          <w:color w:val="auto"/>
          <w:sz w:val="26"/>
          <w:szCs w:val="26"/>
        </w:rPr>
        <w:t xml:space="preserve">ecerá información detallada a los promotores interesados en la promoción de vivienda protegida. “Allí podrán consultar, entre otras, la información disponible de los solares asequibles a través de un mapa interactivo, descargarse el catálogo de solares de </w:t>
      </w:r>
      <w:r>
        <w:rPr>
          <w:rFonts w:ascii="Arial Narrow" w:hAnsi="Arial Narrow"/>
          <w:color w:val="auto"/>
          <w:sz w:val="26"/>
          <w:szCs w:val="26"/>
        </w:rPr>
        <w:t xml:space="preserve">Jerez, formular preguntas y solicitar citas previas para una atención personalizada. </w:t>
      </w:r>
      <w:r>
        <w:rPr>
          <w:rFonts w:ascii="Arial Narrow" w:hAnsi="Arial Narrow"/>
          <w:color w:val="auto"/>
          <w:sz w:val="26"/>
          <w:szCs w:val="26"/>
        </w:rPr>
        <w:t>El propósito “es dar máxima publicidad y transparencia a la oferta de solares que reúnen condiciones para construir viviendas asequibles en un corto plazo, así como asisti</w:t>
      </w:r>
      <w:r>
        <w:rPr>
          <w:rFonts w:ascii="Arial Narrow" w:hAnsi="Arial Narrow"/>
          <w:color w:val="auto"/>
          <w:sz w:val="26"/>
          <w:szCs w:val="26"/>
        </w:rPr>
        <w:t>r con los trámites del proceso”, ha señalado Belén de la Cuadra.</w:t>
      </w:r>
    </w:p>
    <w:p w:rsidR="00C714CE" w:rsidRDefault="00C714CE">
      <w:pPr>
        <w:widowControl w:val="0"/>
        <w:spacing w:after="0"/>
        <w:ind w:right="-454"/>
        <w:contextualSpacing/>
        <w:jc w:val="both"/>
        <w:rPr>
          <w:color w:val="auto"/>
        </w:rPr>
      </w:pPr>
    </w:p>
    <w:p w:rsidR="00C714CE" w:rsidRDefault="005F145B">
      <w:pPr>
        <w:widowControl w:val="0"/>
        <w:spacing w:after="0"/>
        <w:ind w:right="-454"/>
        <w:contextualSpacing/>
        <w:jc w:val="both"/>
        <w:rPr>
          <w:rFonts w:ascii="Arial Narrow" w:hAnsi="Arial Narrow"/>
          <w:sz w:val="26"/>
          <w:szCs w:val="26"/>
        </w:rPr>
      </w:pPr>
      <w:r>
        <w:rPr>
          <w:rFonts w:ascii="Arial Narrow" w:hAnsi="Arial Narrow"/>
          <w:b/>
          <w:bCs/>
          <w:color w:val="auto"/>
          <w:sz w:val="26"/>
          <w:szCs w:val="26"/>
        </w:rPr>
        <w:t>Aprobación definitiva de la modificación del PGOU relativa a Bolaños</w:t>
      </w:r>
    </w:p>
    <w:p w:rsidR="00C714CE" w:rsidRDefault="00C714CE">
      <w:pPr>
        <w:widowControl w:val="0"/>
        <w:spacing w:after="0"/>
        <w:ind w:right="-454"/>
        <w:contextualSpacing/>
        <w:jc w:val="both"/>
        <w:rPr>
          <w:b/>
          <w:bCs/>
          <w:color w:val="auto"/>
        </w:rPr>
      </w:pPr>
    </w:p>
    <w:p w:rsidR="00C714CE" w:rsidRDefault="005F145B">
      <w:pPr>
        <w:widowControl w:val="0"/>
        <w:spacing w:after="0"/>
        <w:ind w:right="-454"/>
        <w:contextualSpacing/>
        <w:jc w:val="both"/>
        <w:rPr>
          <w:rFonts w:ascii="Arial Narrow" w:hAnsi="Arial Narrow"/>
          <w:sz w:val="26"/>
          <w:szCs w:val="26"/>
        </w:rPr>
      </w:pPr>
      <w:r>
        <w:rPr>
          <w:rFonts w:ascii="Arial Narrow" w:hAnsi="Arial Narrow"/>
          <w:color w:val="auto"/>
          <w:sz w:val="26"/>
          <w:szCs w:val="26"/>
        </w:rPr>
        <w:t xml:space="preserve">También en materia urbanística, el Pleno ha aprobado definitivamente la modificación del PGOU que tiene como objeto </w:t>
      </w:r>
      <w:r>
        <w:rPr>
          <w:rFonts w:ascii="Arial Narrow" w:hAnsi="Arial Narrow"/>
          <w:color w:val="auto"/>
          <w:spacing w:val="-4"/>
          <w:sz w:val="26"/>
          <w:szCs w:val="26"/>
          <w:lang w:val="es-MX"/>
        </w:rPr>
        <w:t>modificar la calificación de terrenos situados en suelo rústico en la zona de Bolaños. Este documento se llevó a Pleno para su aprobación inicial el pasado 26 de julio y ahora, tras su publicación y sometimiento a exposición pública, y sin que se hayan pro</w:t>
      </w:r>
      <w:r>
        <w:rPr>
          <w:rFonts w:ascii="Arial Narrow" w:hAnsi="Arial Narrow"/>
          <w:color w:val="auto"/>
          <w:spacing w:val="-4"/>
          <w:sz w:val="26"/>
          <w:szCs w:val="26"/>
          <w:lang w:val="es-MX"/>
        </w:rPr>
        <w:t>ducido alegaciones,  se ha aprobado con los votos a favor de PP, la abstención de Vox y los votos en contra de PSOE y La Confluencia.</w:t>
      </w:r>
    </w:p>
    <w:p w:rsidR="00C714CE" w:rsidRDefault="00C714CE">
      <w:pPr>
        <w:widowControl w:val="0"/>
        <w:spacing w:after="0"/>
        <w:ind w:right="-454"/>
        <w:contextualSpacing/>
        <w:jc w:val="both"/>
        <w:rPr>
          <w:color w:val="auto"/>
          <w:spacing w:val="-4"/>
          <w:lang w:val="es-MX"/>
        </w:rPr>
      </w:pPr>
    </w:p>
    <w:p w:rsidR="00C714CE" w:rsidRDefault="005F145B">
      <w:pPr>
        <w:widowControl w:val="0"/>
        <w:spacing w:after="0"/>
        <w:ind w:right="-454"/>
        <w:contextualSpacing/>
        <w:jc w:val="both"/>
        <w:rPr>
          <w:rFonts w:ascii="Arial Narrow" w:hAnsi="Arial Narrow"/>
          <w:sz w:val="26"/>
          <w:szCs w:val="26"/>
        </w:rPr>
      </w:pPr>
      <w:r>
        <w:rPr>
          <w:rFonts w:ascii="Arial Narrow" w:hAnsi="Arial Narrow"/>
          <w:color w:val="auto"/>
          <w:spacing w:val="-4"/>
          <w:sz w:val="26"/>
          <w:szCs w:val="26"/>
          <w:lang w:val="es-ES_tradnl"/>
        </w:rPr>
        <w:t>Como ha explicado Belén de la Cuadra, este asunto tiene como finalidad modificar la calificación de dos parcelas privadas</w:t>
      </w:r>
      <w:r>
        <w:rPr>
          <w:rFonts w:ascii="Arial Narrow" w:hAnsi="Arial Narrow"/>
          <w:color w:val="auto"/>
          <w:spacing w:val="-4"/>
          <w:sz w:val="26"/>
          <w:szCs w:val="26"/>
          <w:lang w:val="es-ES_tradnl"/>
        </w:rPr>
        <w:t xml:space="preserve"> ubicadas en un á</w:t>
      </w:r>
      <w:r>
        <w:rPr>
          <w:rFonts w:ascii="Arial Narrow" w:hAnsi="Arial Narrow"/>
          <w:color w:val="auto"/>
          <w:spacing w:val="-4"/>
          <w:sz w:val="26"/>
          <w:szCs w:val="26"/>
          <w:lang w:val="it-IT"/>
        </w:rPr>
        <w:t>mbito de Suelo no Urbanizable</w:t>
      </w:r>
      <w:r>
        <w:rPr>
          <w:rFonts w:ascii="Arial Narrow" w:hAnsi="Arial Narrow"/>
          <w:color w:val="auto"/>
          <w:spacing w:val="-4"/>
          <w:sz w:val="26"/>
          <w:szCs w:val="26"/>
          <w:lang w:val="es-ES_tradnl"/>
        </w:rPr>
        <w:t xml:space="preserve"> que aparecen en el</w:t>
      </w:r>
      <w:r>
        <w:rPr>
          <w:rFonts w:ascii="Arial Narrow" w:hAnsi="Arial Narrow"/>
          <w:color w:val="auto"/>
          <w:spacing w:val="-4"/>
          <w:sz w:val="26"/>
          <w:szCs w:val="26"/>
          <w:lang w:val="it-IT"/>
        </w:rPr>
        <w:t xml:space="preserve"> Plan General como</w:t>
      </w:r>
      <w:r>
        <w:rPr>
          <w:rFonts w:ascii="Arial Narrow" w:hAnsi="Arial Narrow"/>
          <w:color w:val="auto"/>
          <w:spacing w:val="-4"/>
          <w:sz w:val="26"/>
          <w:szCs w:val="26"/>
          <w:lang w:val="es-ES_tradnl"/>
        </w:rPr>
        <w:t xml:space="preserve"> Sistema General de Infraestructuras (los sistemas generales incluyen</w:t>
      </w:r>
      <w:r>
        <w:rPr>
          <w:rFonts w:ascii="Arial Narrow" w:hAnsi="Arial Narrow"/>
          <w:color w:val="000000"/>
          <w:spacing w:val="-3"/>
          <w:kern w:val="2"/>
          <w:sz w:val="26"/>
          <w:szCs w:val="26"/>
          <w:lang w:val="es-MX"/>
        </w:rPr>
        <w:t xml:space="preserve"> dotaciones que dan servicio a toda </w:t>
      </w:r>
      <w:r>
        <w:rPr>
          <w:rFonts w:ascii="Arial Narrow" w:hAnsi="Arial Narrow"/>
          <w:color w:val="000000"/>
          <w:spacing w:val="-3"/>
          <w:kern w:val="2"/>
          <w:sz w:val="26"/>
          <w:szCs w:val="26"/>
          <w:lang w:val="es-MX"/>
        </w:rPr>
        <w:lastRenderedPageBreak/>
        <w:t xml:space="preserve">la ciudad), </w:t>
      </w:r>
      <w:r>
        <w:rPr>
          <w:rFonts w:ascii="Arial Narrow" w:hAnsi="Arial Narrow"/>
          <w:color w:val="auto"/>
          <w:spacing w:val="-4"/>
          <w:sz w:val="26"/>
          <w:szCs w:val="26"/>
          <w:lang w:val="es-ES_tradnl"/>
        </w:rPr>
        <w:t>ya que el Ayuntamiento “no ha tenido la necesidad de uti</w:t>
      </w:r>
      <w:r>
        <w:rPr>
          <w:rFonts w:ascii="Arial Narrow" w:hAnsi="Arial Narrow"/>
          <w:color w:val="auto"/>
          <w:spacing w:val="-4"/>
          <w:sz w:val="26"/>
          <w:szCs w:val="26"/>
          <w:lang w:val="es-ES_tradnl"/>
        </w:rPr>
        <w:t xml:space="preserve">lizarlas, y ahora la propiedad de esas parcelas ha solicitado que se reviertan y se queden como Suelo Rústico; en este ámbito </w:t>
      </w:r>
      <w:r>
        <w:rPr>
          <w:rFonts w:ascii="Arial Narrow" w:hAnsi="Arial Narrow"/>
          <w:color w:val="auto"/>
          <w:spacing w:val="-4"/>
          <w:sz w:val="26"/>
          <w:szCs w:val="26"/>
          <w:lang w:val="es-MX"/>
        </w:rPr>
        <w:t xml:space="preserve">se ubica, además, una parcela de titularidad pública, que alberga la planta de las Calandrias. </w:t>
      </w:r>
    </w:p>
    <w:p w:rsidR="00C714CE" w:rsidRDefault="00C714CE">
      <w:pPr>
        <w:widowControl w:val="0"/>
        <w:spacing w:after="0"/>
        <w:ind w:right="-454"/>
        <w:contextualSpacing/>
        <w:jc w:val="both"/>
        <w:rPr>
          <w:color w:val="auto"/>
          <w:spacing w:val="-4"/>
          <w:lang w:val="es-MX"/>
        </w:rPr>
      </w:pPr>
    </w:p>
    <w:p w:rsidR="00C714CE" w:rsidRDefault="005F145B">
      <w:pPr>
        <w:widowControl w:val="0"/>
        <w:spacing w:after="0"/>
        <w:ind w:right="-454"/>
        <w:contextualSpacing/>
        <w:jc w:val="both"/>
        <w:rPr>
          <w:rFonts w:ascii="Arial Narrow" w:hAnsi="Arial Narrow"/>
          <w:sz w:val="26"/>
          <w:szCs w:val="26"/>
        </w:rPr>
      </w:pPr>
      <w:r>
        <w:rPr>
          <w:rFonts w:ascii="Arial Narrow" w:hAnsi="Arial Narrow"/>
          <w:color w:val="auto"/>
          <w:spacing w:val="-4"/>
          <w:sz w:val="26"/>
          <w:szCs w:val="26"/>
          <w:lang w:val="es-MX"/>
        </w:rPr>
        <w:t>Así pues, “el objetivo de esta mo</w:t>
      </w:r>
      <w:r>
        <w:rPr>
          <w:rFonts w:ascii="Arial Narrow" w:hAnsi="Arial Narrow"/>
          <w:color w:val="auto"/>
          <w:spacing w:val="-4"/>
          <w:sz w:val="26"/>
          <w:szCs w:val="26"/>
          <w:lang w:val="es-MX"/>
        </w:rPr>
        <w:t>dificación que traemos a Pleno es eliminar la</w:t>
      </w:r>
      <w:r>
        <w:rPr>
          <w:rFonts w:ascii="Arial Narrow" w:hAnsi="Arial Narrow"/>
          <w:color w:val="auto"/>
          <w:spacing w:val="-4"/>
          <w:sz w:val="26"/>
          <w:szCs w:val="26"/>
        </w:rPr>
        <w:t xml:space="preserve"> </w:t>
      </w:r>
      <w:r>
        <w:rPr>
          <w:rFonts w:ascii="Arial Narrow" w:hAnsi="Arial Narrow"/>
          <w:color w:val="auto"/>
          <w:spacing w:val="-4"/>
          <w:sz w:val="26"/>
          <w:szCs w:val="26"/>
          <w:lang w:val="es-MX"/>
        </w:rPr>
        <w:t>calificación de Sistema General en dos parcelas de terrenos privados sin que ello afecte a la actividad que se desarrolla en ellas”. Con esta modificación sólo quedará calificada como Sistema General la parcela</w:t>
      </w:r>
      <w:r>
        <w:rPr>
          <w:rFonts w:ascii="Arial Narrow" w:hAnsi="Arial Narrow"/>
          <w:color w:val="auto"/>
          <w:spacing w:val="-4"/>
          <w:sz w:val="26"/>
          <w:szCs w:val="26"/>
          <w:lang w:val="es-MX"/>
        </w:rPr>
        <w:t xml:space="preserve"> central, que es municipal, ya que las parcelas privadas perderán esta calificación, manteniéndose como Suelo Rústico y no Urbanizable. </w:t>
      </w:r>
    </w:p>
    <w:p w:rsidR="00C714CE" w:rsidRDefault="00C714CE">
      <w:pPr>
        <w:widowControl w:val="0"/>
        <w:spacing w:after="0"/>
        <w:ind w:right="-454"/>
        <w:contextualSpacing/>
        <w:jc w:val="both"/>
        <w:rPr>
          <w:b/>
          <w:bCs/>
          <w:color w:val="auto"/>
          <w:spacing w:val="-4"/>
          <w:lang w:val="es-MX"/>
        </w:rPr>
      </w:pPr>
    </w:p>
    <w:p w:rsidR="00C714CE" w:rsidRDefault="005F145B">
      <w:pPr>
        <w:widowControl w:val="0"/>
        <w:spacing w:after="0"/>
        <w:ind w:right="-454"/>
        <w:contextualSpacing/>
        <w:jc w:val="both"/>
        <w:rPr>
          <w:rFonts w:ascii="Arial Narrow" w:hAnsi="Arial Narrow"/>
          <w:sz w:val="26"/>
          <w:szCs w:val="26"/>
        </w:rPr>
      </w:pPr>
      <w:r>
        <w:rPr>
          <w:rFonts w:ascii="Arial Narrow" w:hAnsi="Arial Narrow"/>
          <w:b/>
          <w:bCs/>
          <w:spacing w:val="-4"/>
          <w:sz w:val="26"/>
          <w:szCs w:val="26"/>
          <w:lang w:val="es-MX"/>
        </w:rPr>
        <w:t xml:space="preserve">Viviendas de Uso Turístico </w:t>
      </w:r>
    </w:p>
    <w:p w:rsidR="00C714CE" w:rsidRDefault="00C714CE">
      <w:pPr>
        <w:widowControl w:val="0"/>
        <w:spacing w:after="0"/>
        <w:ind w:right="-454"/>
        <w:contextualSpacing/>
        <w:jc w:val="both"/>
        <w:rPr>
          <w:b/>
          <w:bCs/>
          <w:spacing w:val="-4"/>
          <w:lang w:val="es-MX"/>
        </w:rPr>
      </w:pPr>
    </w:p>
    <w:p w:rsidR="00C714CE" w:rsidRDefault="005F145B">
      <w:pPr>
        <w:widowControl w:val="0"/>
        <w:spacing w:after="0"/>
        <w:ind w:right="-454"/>
        <w:contextualSpacing/>
        <w:jc w:val="both"/>
      </w:pPr>
      <w:r>
        <w:rPr>
          <w:rFonts w:ascii="Arial Narrow" w:hAnsi="Arial Narrow"/>
          <w:spacing w:val="-4"/>
          <w:sz w:val="26"/>
          <w:szCs w:val="26"/>
          <w:lang w:val="es-MX"/>
        </w:rPr>
        <w:t>Durante el Pleno se ha producido un debate sobre la modificación puntual del PGOU relativ</w:t>
      </w:r>
      <w:r>
        <w:rPr>
          <w:rFonts w:ascii="Arial Narrow" w:hAnsi="Arial Narrow"/>
          <w:spacing w:val="-4"/>
          <w:sz w:val="26"/>
          <w:szCs w:val="26"/>
          <w:lang w:val="es-MX"/>
        </w:rPr>
        <w:t>a a las viviendas de uso turístico (VUT) que el Gobierno traerá al Pleno del próximo mes de junio, tras someterse a la consideración del Consejo Social de la Ciudad. En relación a este asunto, la alcaldesa, María José García-Pelayo, ha subrayado que “</w:t>
      </w:r>
      <w:r>
        <w:rPr>
          <w:rFonts w:ascii="Arial Narrow" w:hAnsi="Arial Narrow"/>
          <w:color w:val="auto"/>
          <w:spacing w:val="-3"/>
          <w:kern w:val="2"/>
          <w:sz w:val="26"/>
          <w:szCs w:val="26"/>
          <w:lang w:val="es-MX"/>
        </w:rPr>
        <w:t>cuand</w:t>
      </w:r>
      <w:r>
        <w:rPr>
          <w:rFonts w:ascii="Arial Narrow" w:hAnsi="Arial Narrow"/>
          <w:color w:val="auto"/>
          <w:spacing w:val="-3"/>
          <w:kern w:val="2"/>
          <w:sz w:val="26"/>
          <w:szCs w:val="26"/>
          <w:lang w:val="es-MX"/>
        </w:rPr>
        <w:t xml:space="preserve">o hay previsión de que se pueda producir algún problema en la ciudad, este Gobierno toma decisiones, y, en este caso, estamos tomando una decisión de carácter preventivo, ya que todos los estudios demuestran que actualmente no hay tensión con el número de </w:t>
      </w:r>
      <w:r>
        <w:rPr>
          <w:rFonts w:ascii="Arial Narrow" w:hAnsi="Arial Narrow"/>
          <w:color w:val="auto"/>
          <w:spacing w:val="-3"/>
          <w:kern w:val="2"/>
          <w:sz w:val="26"/>
          <w:szCs w:val="26"/>
          <w:lang w:val="es-MX"/>
        </w:rPr>
        <w:t xml:space="preserve">viviendas turísticas en la ciudad”. </w:t>
      </w:r>
    </w:p>
    <w:p w:rsidR="00C714CE" w:rsidRDefault="00C714CE">
      <w:pPr>
        <w:widowControl w:val="0"/>
        <w:spacing w:after="0"/>
        <w:ind w:right="-454"/>
        <w:contextualSpacing/>
        <w:jc w:val="both"/>
        <w:rPr>
          <w:rFonts w:ascii="Arial Narrow" w:hAnsi="Arial Narrow"/>
          <w:color w:val="auto"/>
          <w:spacing w:val="-3"/>
          <w:kern w:val="2"/>
          <w:sz w:val="26"/>
          <w:szCs w:val="26"/>
          <w:lang w:val="es-MX"/>
        </w:rPr>
      </w:pPr>
    </w:p>
    <w:p w:rsidR="00C714CE" w:rsidRDefault="005F145B">
      <w:pPr>
        <w:widowControl w:val="0"/>
        <w:spacing w:after="0"/>
        <w:ind w:right="-454"/>
        <w:contextualSpacing/>
        <w:jc w:val="both"/>
      </w:pPr>
      <w:r>
        <w:rPr>
          <w:rFonts w:ascii="Arial Narrow" w:hAnsi="Arial Narrow"/>
          <w:color w:val="auto"/>
          <w:spacing w:val="-3"/>
          <w:kern w:val="2"/>
          <w:sz w:val="26"/>
          <w:szCs w:val="26"/>
          <w:lang w:val="es-MX"/>
        </w:rPr>
        <w:t xml:space="preserve">Igualmente, ha recordado que el Ayuntamiento no concede licencia a las VUT y que son los propietarios de estas viviendas los que deben presentar a la Junta de Andalucía un formulario de </w:t>
      </w:r>
      <w:r>
        <w:rPr>
          <w:rStyle w:val="Textoennegrita"/>
          <w:rFonts w:ascii="Arial Narrow" w:hAnsi="Arial Narrow"/>
          <w:b w:val="0"/>
          <w:bCs w:val="0"/>
          <w:color w:val="auto"/>
          <w:spacing w:val="-3"/>
          <w:kern w:val="2"/>
          <w:sz w:val="26"/>
          <w:szCs w:val="26"/>
          <w:lang w:val="es-MX"/>
        </w:rPr>
        <w:t xml:space="preserve">declaración responsable para el inicio o ejercicio de la actividad; </w:t>
      </w:r>
      <w:r>
        <w:rPr>
          <w:rFonts w:ascii="Arial Narrow" w:hAnsi="Arial Narrow"/>
          <w:color w:val="auto"/>
          <w:spacing w:val="-3"/>
          <w:kern w:val="2"/>
          <w:sz w:val="26"/>
          <w:szCs w:val="26"/>
          <w:lang w:val="es-MX"/>
        </w:rPr>
        <w:t>es cierto que íbamos a traer este asunto a este Pleno, pero hemos decidido trasladar previamente esta cuestión al Consejo Social de la Ciudad, que se reúne el próximo lunes, cumpliendo así</w:t>
      </w:r>
      <w:r>
        <w:rPr>
          <w:rFonts w:ascii="Arial Narrow" w:hAnsi="Arial Narrow"/>
          <w:color w:val="auto"/>
          <w:spacing w:val="-3"/>
          <w:kern w:val="2"/>
          <w:sz w:val="26"/>
          <w:szCs w:val="26"/>
          <w:lang w:val="es-MX"/>
        </w:rPr>
        <w:t xml:space="preserve"> nuestro compromiso de contar con este órgano para todas las decisiones trascendentes para Jerez”. </w:t>
      </w:r>
    </w:p>
    <w:p w:rsidR="00C714CE" w:rsidRDefault="00C714CE">
      <w:pPr>
        <w:pStyle w:val="western"/>
        <w:spacing w:after="0"/>
        <w:ind w:right="-425"/>
        <w:jc w:val="both"/>
        <w:rPr>
          <w:color w:val="auto"/>
          <w:spacing w:val="-3"/>
          <w:kern w:val="2"/>
          <w:lang w:val="es-MX"/>
        </w:rPr>
      </w:pPr>
    </w:p>
    <w:p w:rsidR="00C714CE" w:rsidRDefault="00C714CE">
      <w:pPr>
        <w:pStyle w:val="Textoindependiente"/>
        <w:spacing w:after="0" w:line="240" w:lineRule="auto"/>
        <w:jc w:val="both"/>
        <w:rPr>
          <w:b/>
          <w:bCs/>
          <w:color w:val="auto"/>
          <w:spacing w:val="-4"/>
          <w:lang w:val="es-ES_tradnl"/>
        </w:rPr>
      </w:pPr>
    </w:p>
    <w:sectPr w:rsidR="00C714CE">
      <w:headerReference w:type="even" r:id="rId6"/>
      <w:headerReference w:type="default" r:id="rId7"/>
      <w:footerReference w:type="even" r:id="rId8"/>
      <w:footerReference w:type="default" r:id="rId9"/>
      <w:headerReference w:type="first" r:id="rId10"/>
      <w:footerReference w:type="first" r:id="rId11"/>
      <w:pgSz w:w="11906" w:h="16838"/>
      <w:pgMar w:top="2268" w:right="1274"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F145B">
      <w:pPr>
        <w:spacing w:after="0"/>
      </w:pPr>
      <w:r>
        <w:separator/>
      </w:r>
    </w:p>
  </w:endnote>
  <w:endnote w:type="continuationSeparator" w:id="0">
    <w:p w:rsidR="00000000" w:rsidRDefault="005F14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umanst521 BT;Lucida Sans Unico">
    <w:panose1 w:val="00000000000000000000"/>
    <w:charset w:val="00"/>
    <w:family w:val="roman"/>
    <w:notTrueType/>
    <w:pitch w:val="default"/>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penSymbol;Arial Unicode MS">
    <w:altName w:val="Times New Roman"/>
    <w:panose1 w:val="00000000000000000000"/>
    <w:charset w:val="00"/>
    <w:family w:val="roman"/>
    <w:notTrueType/>
    <w:pitch w:val="default"/>
  </w:font>
  <w:font w:name="CG Times">
    <w:charset w:val="00"/>
    <w:family w:val="roman"/>
    <w:pitch w:val="variable"/>
  </w:font>
  <w:font w:name="Humanst521 Lt BT;Bookman Old St">
    <w:panose1 w:val="00000000000000000000"/>
    <w:charset w:val="00"/>
    <w:family w:val="roman"/>
    <w:notTrueType/>
    <w:pitch w:val="default"/>
  </w:font>
  <w:font w:name="Univers;Arial">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Mangal">
    <w:altName w:val="Courier New"/>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charset w:val="00"/>
    <w:family w:val="roman"/>
    <w:pitch w:val="variable"/>
  </w:font>
  <w:font w:name="F">
    <w:panose1 w:val="00000000000000000000"/>
    <w:charset w:val="00"/>
    <w:family w:val="roman"/>
    <w:notTrueType/>
    <w:pitch w:val="default"/>
  </w:font>
  <w:font w:name="Liberation Mono;Courier New">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Gill Sans Std Light">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4CE" w:rsidRDefault="00C714C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4CE" w:rsidRDefault="00C714CE">
    <w:pPr>
      <w:pStyle w:val="Piedepgina"/>
      <w:spacing w:line="220" w:lineRule="exact"/>
      <w:rPr>
        <w:rFonts w:ascii="Gill Sans Std Light" w:hAnsi="Gill Sans Std Light" w:cs="Gill Sans Std Light"/>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4CE" w:rsidRDefault="00C714CE">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F145B">
      <w:pPr>
        <w:spacing w:after="0"/>
      </w:pPr>
      <w:r>
        <w:separator/>
      </w:r>
    </w:p>
  </w:footnote>
  <w:footnote w:type="continuationSeparator" w:id="0">
    <w:p w:rsidR="00000000" w:rsidRDefault="005F145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4CE" w:rsidRDefault="00C714C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4CE" w:rsidRDefault="005F145B">
    <w:pPr>
      <w:pStyle w:val="Encabezado"/>
      <w:ind w:left="-142"/>
    </w:pPr>
    <w:r>
      <w:rPr>
        <w:noProof/>
        <w:lang w:eastAsia="es-ES"/>
      </w:rPr>
      <w:drawing>
        <wp:inline distT="0" distB="0" distL="0" distR="0">
          <wp:extent cx="6481445" cy="1080135"/>
          <wp:effectExtent l="0" t="0" r="0" b="0"/>
          <wp:docPr id="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1"/>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C714CE" w:rsidRDefault="005F145B">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4CE" w:rsidRDefault="005F145B">
    <w:pPr>
      <w:pStyle w:val="Encabezado"/>
      <w:ind w:left="-142"/>
    </w:pPr>
    <w:r>
      <w:rPr>
        <w:noProof/>
        <w:lang w:eastAsia="es-ES"/>
      </w:rPr>
      <w:drawing>
        <wp:inline distT="0" distB="0" distL="0" distR="0">
          <wp:extent cx="6481445" cy="1080135"/>
          <wp:effectExtent l="0" t="0" r="0" b="0"/>
          <wp:docPr id="2"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1"/>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C714CE" w:rsidRDefault="005F145B">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4CE"/>
    <w:rsid w:val="005F145B"/>
    <w:rsid w:val="00C714C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5042FF-EDF2-48C7-9839-90C6B91F4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paragraph" w:styleId="Ttulo1">
    <w:name w:val="heading 1"/>
    <w:basedOn w:val="Normal"/>
    <w:next w:val="Normal"/>
    <w:qFormat/>
    <w:pPr>
      <w:keepNext/>
      <w:outlineLvl w:val="0"/>
    </w:pPr>
    <w:rPr>
      <w:rFonts w:ascii="Humanst521 BT;Lucida Sans Unico" w:hAnsi="Humanst521 BT;Lucida Sans Unico" w:cs="Humanst521 BT;Lucida Sans Unico"/>
      <w:b/>
      <w:sz w:val="28"/>
    </w:rPr>
  </w:style>
  <w:style w:type="paragraph" w:styleId="Ttulo2">
    <w:name w:val="heading 2"/>
    <w:basedOn w:val="Normal"/>
    <w:qFormat/>
    <w:pPr>
      <w:spacing w:beforeAutospacing="1" w:afterAutospacing="1"/>
      <w:outlineLvl w:val="1"/>
    </w:pPr>
    <w:rPr>
      <w:rFonts w:ascii="Times New Roman" w:eastAsia="Times New Roman" w:hAnsi="Times New Roman"/>
      <w:b/>
      <w:bCs/>
      <w:sz w:val="36"/>
      <w:szCs w:val="36"/>
      <w:lang w:eastAsia="es-ES"/>
    </w:rPr>
  </w:style>
  <w:style w:type="paragraph" w:styleId="Ttulo3">
    <w:name w:val="heading 3"/>
    <w:basedOn w:val="Ttulo10"/>
    <w:next w:val="Textoindependiente"/>
    <w:qFormat/>
    <w:pPr>
      <w:spacing w:before="140"/>
      <w:outlineLvl w:val="2"/>
    </w:pPr>
    <w:rPr>
      <w:rFonts w:ascii="Liberation Serif" w:eastAsia="Segoe UI" w:hAnsi="Liberation Serif" w:cs="Tahoma"/>
      <w:b/>
      <w:bCs/>
    </w:rPr>
  </w:style>
  <w:style w:type="paragraph" w:styleId="Ttulo4">
    <w:name w:val="heading 4"/>
    <w:basedOn w:val="Normal"/>
    <w:next w:val="Normal"/>
    <w:qFormat/>
    <w:pPr>
      <w:keepNext/>
      <w:jc w:val="both"/>
      <w:outlineLvl w:val="3"/>
    </w:pPr>
    <w:rPr>
      <w:rFonts w:ascii="Arial" w:hAnsi="Arial" w:cs="Arial"/>
      <w:b/>
      <w:bCs/>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styleId="Hipervnculo">
    <w:name w:val="Hyperlink"/>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qFormat/>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styleId="nfasis">
    <w:name w:val="Emphasis"/>
    <w:qFormat/>
    <w:rPr>
      <w:i/>
      <w:iCs/>
    </w:rPr>
  </w:style>
  <w:style w:type="character" w:customStyle="1" w:styleId="Bolos">
    <w:name w:val="Bolos"/>
    <w:qFormat/>
    <w:rPr>
      <w:rFonts w:ascii="OpenSymbol;Arial Unicode MS" w:eastAsia="OpenSymbol;Arial Unicode MS" w:hAnsi="OpenSymbol;Arial Unicode MS" w:cs="OpenSymbol;Arial Unicode MS"/>
    </w:rPr>
  </w:style>
  <w:style w:type="character" w:customStyle="1" w:styleId="TtuloCar">
    <w:name w:val="Título Car"/>
    <w:qFormat/>
    <w:rPr>
      <w:rFonts w:ascii="CG Times" w:eastAsia="Times New Roman" w:hAnsi="CG Times" w:cs="CG Times"/>
      <w:sz w:val="24"/>
    </w:rPr>
  </w:style>
  <w:style w:type="character" w:customStyle="1" w:styleId="TextoindependienteCar">
    <w:name w:val="Texto independiente Car"/>
    <w:qFormat/>
    <w:rPr>
      <w:rFonts w:ascii="Humanst521 Lt BT;Bookman Old St" w:eastAsia="Times New Roman" w:hAnsi="Humanst521 Lt BT;Bookman Old St" w:cs="Times New Roman"/>
      <w:sz w:val="28"/>
      <w:szCs w:val="20"/>
    </w:rPr>
  </w:style>
  <w:style w:type="character" w:customStyle="1" w:styleId="Ttulo1Car">
    <w:name w:val="Título 1 Car"/>
    <w:qFormat/>
    <w:rPr>
      <w:rFonts w:ascii="Humanst521 BT;Lucida Sans Unico" w:eastAsia="Times New Roman" w:hAnsi="Humanst521 BT;Lucida Sans Unico" w:cs="Times New Roman"/>
      <w:b/>
      <w:sz w:val="28"/>
      <w:szCs w:val="20"/>
    </w:rPr>
  </w:style>
  <w:style w:type="character" w:customStyle="1" w:styleId="Ttulo2Car">
    <w:name w:val="Título 2 Car"/>
    <w:basedOn w:val="Fuentedeprrafopredeter"/>
    <w:qFormat/>
    <w:rPr>
      <w:rFonts w:ascii="Cambria" w:eastAsia="Times New Roman" w:hAnsi="Cambria" w:cs="Times New Roman"/>
      <w:b/>
      <w:bCs/>
      <w:i/>
      <w:iCs/>
      <w:sz w:val="28"/>
      <w:szCs w:val="28"/>
    </w:rPr>
  </w:style>
  <w:style w:type="character" w:customStyle="1" w:styleId="Sangra2detindependienteCar">
    <w:name w:val="Sangría 2 de t. independiente Car"/>
    <w:basedOn w:val="Fuentedeprrafopredeter"/>
    <w:qFormat/>
    <w:rPr>
      <w:rFonts w:ascii="Univers;Arial" w:eastAsia="Times New Roman" w:hAnsi="Univers;Arial" w:cs="Univers;Arial"/>
      <w:spacing w:val="0"/>
      <w:sz w:val="24"/>
      <w:lang w:val="es-ES"/>
    </w:rPr>
  </w:style>
  <w:style w:type="character" w:customStyle="1" w:styleId="TextosinformatoCar">
    <w:name w:val="Texto sin formato Car"/>
    <w:basedOn w:val="Fuentedeprrafopredeter"/>
    <w:qFormat/>
    <w:rPr>
      <w:rFonts w:ascii="Consolas" w:eastAsia="Calibri" w:hAnsi="Consolas" w:cs="Times New Roman"/>
      <w:sz w:val="21"/>
      <w:szCs w:val="21"/>
    </w:rPr>
  </w:style>
  <w:style w:type="character" w:customStyle="1" w:styleId="SinespaciadoCar">
    <w:name w:val="Sin espaciado Car"/>
    <w:basedOn w:val="Fuentedeprrafopredeter"/>
    <w:qFormat/>
    <w:rPr>
      <w:rFonts w:ascii="Times New Roman" w:eastAsia="Times New Roman" w:hAnsi="Times New Roman" w:cs="Times New Roman"/>
      <w:sz w:val="24"/>
      <w:szCs w:val="24"/>
      <w:lang w:val="es-ES" w:bidi="ar-SA"/>
    </w:rPr>
  </w:style>
  <w:style w:type="character" w:customStyle="1" w:styleId="Ttulo5Car">
    <w:name w:val="Título 5 Car"/>
    <w:basedOn w:val="Fuentedeprrafopredeter"/>
    <w:qFormat/>
    <w:rPr>
      <w:rFonts w:ascii="Calibri" w:eastAsia="Calibri" w:hAnsi="Calibri" w:cs="Calibri"/>
      <w:b/>
      <w:bCs/>
      <w:i/>
      <w:iCs/>
      <w:sz w:val="26"/>
      <w:szCs w:val="26"/>
    </w:rPr>
  </w:style>
  <w:style w:type="character" w:customStyle="1" w:styleId="WW8Num21z8">
    <w:name w:val="WW8Num21z8"/>
    <w:qFormat/>
  </w:style>
  <w:style w:type="character" w:customStyle="1" w:styleId="WW8Num21z7">
    <w:name w:val="WW8Num21z7"/>
    <w:qFormat/>
  </w:style>
  <w:style w:type="character" w:customStyle="1" w:styleId="WW8Num21z6">
    <w:name w:val="WW8Num21z6"/>
    <w:qFormat/>
  </w:style>
  <w:style w:type="character" w:customStyle="1" w:styleId="WW8Num21z5">
    <w:name w:val="WW8Num21z5"/>
    <w:qFormat/>
  </w:style>
  <w:style w:type="character" w:customStyle="1" w:styleId="WW8Num21z4">
    <w:name w:val="WW8Num21z4"/>
    <w:qFormat/>
  </w:style>
  <w:style w:type="character" w:customStyle="1" w:styleId="WW8Num21z3">
    <w:name w:val="WW8Num21z3"/>
    <w:qFormat/>
  </w:style>
  <w:style w:type="character" w:customStyle="1" w:styleId="WW8Num21z2">
    <w:name w:val="WW8Num21z2"/>
    <w:qFormat/>
  </w:style>
  <w:style w:type="character" w:customStyle="1" w:styleId="WW8Num21z1">
    <w:name w:val="WW8Num21z1"/>
    <w:qFormat/>
  </w:style>
  <w:style w:type="character" w:customStyle="1" w:styleId="WW8Num21z0">
    <w:name w:val="WW8Num21z0"/>
    <w:qFormat/>
  </w:style>
  <w:style w:type="character" w:customStyle="1" w:styleId="WW8Num19z8">
    <w:name w:val="WW8Num19z8"/>
    <w:qFormat/>
  </w:style>
  <w:style w:type="character" w:customStyle="1" w:styleId="WW8Num19z7">
    <w:name w:val="WW8Num19z7"/>
    <w:qFormat/>
  </w:style>
  <w:style w:type="character" w:customStyle="1" w:styleId="WW8Num19z6">
    <w:name w:val="WW8Num19z6"/>
    <w:qFormat/>
  </w:style>
  <w:style w:type="character" w:customStyle="1" w:styleId="WW8Num19z5">
    <w:name w:val="WW8Num19z5"/>
    <w:qFormat/>
  </w:style>
  <w:style w:type="character" w:customStyle="1" w:styleId="WW8Num19z4">
    <w:name w:val="WW8Num19z4"/>
    <w:qFormat/>
  </w:style>
  <w:style w:type="character" w:customStyle="1" w:styleId="WW8Num19z3">
    <w:name w:val="WW8Num19z3"/>
    <w:qFormat/>
  </w:style>
  <w:style w:type="character" w:customStyle="1" w:styleId="WW8Num19z2">
    <w:name w:val="WW8Num19z2"/>
    <w:qFormat/>
  </w:style>
  <w:style w:type="character" w:customStyle="1" w:styleId="WW8Num19z1">
    <w:name w:val="WW8Num19z1"/>
    <w:qFormat/>
  </w:style>
  <w:style w:type="character" w:customStyle="1" w:styleId="WW8Num19z0">
    <w:name w:val="WW8Num19z0"/>
    <w:qFormat/>
    <w:rPr>
      <w:rFonts w:ascii="Times New Roman" w:hAnsi="Times New Roman" w:cs="Times New Roman"/>
      <w:bCs/>
      <w:sz w:val="24"/>
      <w:szCs w:val="24"/>
    </w:rPr>
  </w:style>
  <w:style w:type="character" w:customStyle="1" w:styleId="WW8Num18z8">
    <w:name w:val="WW8Num18z8"/>
    <w:qFormat/>
  </w:style>
  <w:style w:type="character" w:customStyle="1" w:styleId="WW8Num18z7">
    <w:name w:val="WW8Num18z7"/>
    <w:qFormat/>
  </w:style>
  <w:style w:type="character" w:customStyle="1" w:styleId="WW8Num18z6">
    <w:name w:val="WW8Num18z6"/>
    <w:qFormat/>
  </w:style>
  <w:style w:type="character" w:customStyle="1" w:styleId="WW8Num18z5">
    <w:name w:val="WW8Num18z5"/>
    <w:qFormat/>
  </w:style>
  <w:style w:type="character" w:customStyle="1" w:styleId="WW8Num18z4">
    <w:name w:val="WW8Num18z4"/>
    <w:qFormat/>
  </w:style>
  <w:style w:type="character" w:customStyle="1" w:styleId="WW8Num18z3">
    <w:name w:val="WW8Num18z3"/>
    <w:qFormat/>
  </w:style>
  <w:style w:type="character" w:customStyle="1" w:styleId="WW8Num18z2">
    <w:name w:val="WW8Num18z2"/>
    <w:qFormat/>
  </w:style>
  <w:style w:type="character" w:customStyle="1" w:styleId="WW8Num18z1">
    <w:name w:val="WW8Num18z1"/>
    <w:qFormat/>
  </w:style>
  <w:style w:type="character" w:customStyle="1" w:styleId="WW8Num18z0">
    <w:name w:val="WW8Num18z0"/>
    <w:qFormat/>
  </w:style>
  <w:style w:type="character" w:customStyle="1" w:styleId="WW8Num16z8">
    <w:name w:val="WW8Num16z8"/>
    <w:qFormat/>
  </w:style>
  <w:style w:type="character" w:customStyle="1" w:styleId="WW8Num16z7">
    <w:name w:val="WW8Num16z7"/>
    <w:qFormat/>
  </w:style>
  <w:style w:type="character" w:customStyle="1" w:styleId="WW8Num16z6">
    <w:name w:val="WW8Num16z6"/>
    <w:qFormat/>
  </w:style>
  <w:style w:type="character" w:customStyle="1" w:styleId="WW8Num16z5">
    <w:name w:val="WW8Num16z5"/>
    <w:qFormat/>
  </w:style>
  <w:style w:type="character" w:customStyle="1" w:styleId="WW8Num16z4">
    <w:name w:val="WW8Num16z4"/>
    <w:qFormat/>
  </w:style>
  <w:style w:type="character" w:customStyle="1" w:styleId="WW8Num16z3">
    <w:name w:val="WW8Num16z3"/>
    <w:qFormat/>
  </w:style>
  <w:style w:type="character" w:customStyle="1" w:styleId="WW8Num16z2">
    <w:name w:val="WW8Num16z2"/>
    <w:qFormat/>
  </w:style>
  <w:style w:type="character" w:customStyle="1" w:styleId="WW8Num16z1">
    <w:name w:val="WW8Num16z1"/>
    <w:qFormat/>
  </w:style>
  <w:style w:type="character" w:customStyle="1" w:styleId="WW8Num16z0">
    <w:name w:val="WW8Num16z0"/>
    <w:qFormat/>
  </w:style>
  <w:style w:type="character" w:customStyle="1" w:styleId="WW8Num13z8">
    <w:name w:val="WW8Num13z8"/>
    <w:qFormat/>
  </w:style>
  <w:style w:type="character" w:customStyle="1" w:styleId="WW8Num13z7">
    <w:name w:val="WW8Num13z7"/>
    <w:qFormat/>
  </w:style>
  <w:style w:type="character" w:customStyle="1" w:styleId="WW8Num13z6">
    <w:name w:val="WW8Num13z6"/>
    <w:qFormat/>
  </w:style>
  <w:style w:type="character" w:customStyle="1" w:styleId="WW8Num13z5">
    <w:name w:val="WW8Num13z5"/>
    <w:qFormat/>
  </w:style>
  <w:style w:type="character" w:customStyle="1" w:styleId="WW8Num13z4">
    <w:name w:val="WW8Num13z4"/>
    <w:qFormat/>
  </w:style>
  <w:style w:type="character" w:customStyle="1" w:styleId="WW8Num11z8">
    <w:name w:val="WW8Num11z8"/>
    <w:qFormat/>
  </w:style>
  <w:style w:type="character" w:customStyle="1" w:styleId="WW8Num11z7">
    <w:name w:val="WW8Num11z7"/>
    <w:qFormat/>
  </w:style>
  <w:style w:type="character" w:customStyle="1" w:styleId="WW8Num11z6">
    <w:name w:val="WW8Num11z6"/>
    <w:qFormat/>
  </w:style>
  <w:style w:type="character" w:customStyle="1" w:styleId="WW8Num11z5">
    <w:name w:val="WW8Num11z5"/>
    <w:qFormat/>
  </w:style>
  <w:style w:type="character" w:customStyle="1" w:styleId="WW8Num11z4">
    <w:name w:val="WW8Num11z4"/>
    <w:qFormat/>
  </w:style>
  <w:style w:type="character" w:customStyle="1" w:styleId="WW8Num11z3">
    <w:name w:val="WW8Num11z3"/>
    <w:qFormat/>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Ninguno">
    <w:name w:val="Ninguno"/>
    <w:qFormat/>
    <w:rPr>
      <w:lang w:val="es-ES_tradnl"/>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caption1">
    <w:name w:val="caption1"/>
    <w:basedOn w:val="Normal"/>
    <w:qFormat/>
    <w:pPr>
      <w:suppressLineNumbers/>
      <w:spacing w:before="120" w:after="120"/>
    </w:pPr>
    <w:rPr>
      <w:rFonts w:cs="Arial"/>
      <w:i/>
      <w:iCs/>
    </w:rPr>
  </w:style>
  <w:style w:type="paragraph" w:customStyle="1" w:styleId="Ttulo10">
    <w:name w:val="Título1"/>
    <w:basedOn w:val="Normal"/>
    <w:next w:val="Textoindependiente"/>
    <w:qFormat/>
    <w:pPr>
      <w:keepNext/>
      <w:spacing w:before="240" w:after="120"/>
    </w:pPr>
    <w:rPr>
      <w:rFonts w:ascii="Liberation Sans" w:eastAsia="Microsoft YaHei" w:hAnsi="Liberation Sans" w:cs="Lucida Sans"/>
      <w:sz w:val="28"/>
      <w:szCs w:val="28"/>
    </w:rPr>
  </w:style>
  <w:style w:type="paragraph" w:customStyle="1" w:styleId="caption11">
    <w:name w:val="caption11"/>
    <w:basedOn w:val="Normal"/>
    <w:qFormat/>
    <w:pPr>
      <w:suppressLineNumbers/>
      <w:spacing w:before="120" w:after="120"/>
    </w:pPr>
    <w:rPr>
      <w:rFonts w:cs="Arial"/>
      <w:i/>
      <w:iCs/>
    </w:rPr>
  </w:style>
  <w:style w:type="paragraph" w:customStyle="1" w:styleId="caption111">
    <w:name w:val="caption111"/>
    <w:basedOn w:val="Normal"/>
    <w:qFormat/>
    <w:pPr>
      <w:suppressLineNumbers/>
      <w:spacing w:before="120" w:after="120"/>
    </w:pPr>
    <w:rPr>
      <w:rFonts w:cs="Arial"/>
      <w:i/>
      <w:iCs/>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qFormat/>
    <w:rPr>
      <w:rFonts w:ascii="Tahoma" w:hAnsi="Tahoma" w:cs="Tahoma"/>
      <w:sz w:val="16"/>
      <w:szCs w:val="16"/>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0">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0">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11">
    <w:name w:val="caption1111"/>
    <w:basedOn w:val="Normal"/>
    <w:qFormat/>
    <w:pPr>
      <w:spacing w:before="120" w:after="120"/>
    </w:pPr>
    <w:rPr>
      <w:i/>
      <w:iCs/>
    </w:rPr>
  </w:style>
  <w:style w:type="paragraph" w:customStyle="1" w:styleId="caption12">
    <w:name w:val="caption12"/>
    <w:basedOn w:val="Normal"/>
    <w:qFormat/>
    <w:pPr>
      <w:spacing w:before="120" w:after="120"/>
    </w:pPr>
    <w:rPr>
      <w:i/>
      <w:iCs/>
    </w:rPr>
  </w:style>
  <w:style w:type="paragraph" w:customStyle="1" w:styleId="Encabezado20">
    <w:name w:val="Encabezado 2"/>
    <w:basedOn w:val="Normal"/>
    <w:next w:val="Normal"/>
    <w:qFormat/>
    <w:pPr>
      <w:keepNext/>
      <w:ind w:firstLine="709"/>
      <w:outlineLvl w:val="1"/>
    </w:pPr>
    <w:rPr>
      <w:b/>
    </w:rPr>
  </w:style>
  <w:style w:type="paragraph" w:customStyle="1" w:styleId="Normal1">
    <w:name w:val="Normal1"/>
    <w:qFormat/>
    <w:rPr>
      <w:rFonts w:ascii="Liberation Serif" w:eastAsia="NSimSun" w:hAnsi="Liberation Serif" w:cs="Arial"/>
      <w:kern w:val="2"/>
      <w:sz w:val="24"/>
      <w:szCs w:val="24"/>
      <w:lang w:eastAsia="zh-CN" w:bidi="hi-IN"/>
    </w:rPr>
  </w:style>
  <w:style w:type="paragraph" w:styleId="Prrafodelista">
    <w:name w:val="List Paragraph"/>
    <w:basedOn w:val="Normal"/>
    <w:qFormat/>
    <w:pPr>
      <w:ind w:left="708"/>
    </w:pPr>
  </w:style>
  <w:style w:type="paragraph" w:styleId="Textosinformato">
    <w:name w:val="Plain Text"/>
    <w:basedOn w:val="Normal"/>
    <w:qFormat/>
    <w:rPr>
      <w:rFonts w:ascii="Consolas" w:eastAsia="Calibri" w:hAnsi="Consolas" w:cs="Consolas"/>
      <w:sz w:val="21"/>
      <w:szCs w:val="21"/>
    </w:rPr>
  </w:style>
  <w:style w:type="paragraph" w:customStyle="1" w:styleId="Standard1">
    <w:name w:val="Standard1"/>
    <w:qFormat/>
    <w:pPr>
      <w:textAlignment w:val="baseline"/>
    </w:pPr>
    <w:rPr>
      <w:kern w:val="2"/>
      <w:lang w:val="en-US" w:eastAsia="zh-CN"/>
    </w:rPr>
  </w:style>
  <w:style w:type="paragraph" w:styleId="Sangradetextonormal">
    <w:name w:val="Body Text Indent"/>
    <w:basedOn w:val="Normal"/>
    <w:pPr>
      <w:tabs>
        <w:tab w:val="left" w:pos="0"/>
      </w:tabs>
      <w:ind w:firstLine="567"/>
      <w:jc w:val="both"/>
    </w:pPr>
    <w:rPr>
      <w:rFonts w:ascii="Arial" w:hAnsi="Arial" w:cs="Arial"/>
      <w:spacing w:val="-2"/>
    </w:rPr>
  </w:style>
  <w:style w:type="paragraph" w:customStyle="1" w:styleId="Contenidodelmarco">
    <w:name w:val="Contenido del marco"/>
    <w:basedOn w:val="Normal"/>
    <w:qFormat/>
  </w:style>
  <w:style w:type="paragraph" w:customStyle="1" w:styleId="Caption111111">
    <w:name w:val="Caption111111"/>
    <w:basedOn w:val="Normal"/>
    <w:qFormat/>
    <w:pPr>
      <w:suppressLineNumbers/>
      <w:spacing w:before="120" w:after="120"/>
    </w:pPr>
    <w:rPr>
      <w:rFonts w:cs="Mangal"/>
      <w:i/>
      <w:iCs/>
    </w:rPr>
  </w:style>
  <w:style w:type="paragraph" w:customStyle="1" w:styleId="Caption11111">
    <w:name w:val="Caption11111"/>
    <w:basedOn w:val="Normal"/>
    <w:qFormat/>
    <w:pPr>
      <w:suppressLineNumbers/>
      <w:spacing w:before="120" w:after="120"/>
    </w:pPr>
    <w:rPr>
      <w:rFonts w:cs="Arial"/>
      <w:i/>
      <w:iCs/>
    </w:rPr>
  </w:style>
  <w:style w:type="paragraph" w:customStyle="1" w:styleId="Caption11112">
    <w:name w:val="Caption11112"/>
    <w:basedOn w:val="Normal"/>
    <w:qFormat/>
    <w:pPr>
      <w:suppressLineNumbers/>
      <w:spacing w:before="120" w:after="120"/>
    </w:pPr>
    <w:rPr>
      <w:rFonts w:cs="Arial"/>
      <w:i/>
      <w:iCs/>
    </w:rPr>
  </w:style>
  <w:style w:type="paragraph" w:customStyle="1" w:styleId="Caption1112">
    <w:name w:val="Caption1112"/>
    <w:basedOn w:val="Normal"/>
    <w:qFormat/>
    <w:pPr>
      <w:suppressLineNumbers/>
      <w:spacing w:before="120" w:after="120"/>
    </w:pPr>
    <w:rPr>
      <w:rFonts w:cs="Arial"/>
      <w:i/>
      <w:iCs/>
    </w:rPr>
  </w:style>
  <w:style w:type="paragraph" w:customStyle="1" w:styleId="Caption112">
    <w:name w:val="Caption112"/>
    <w:basedOn w:val="Normal"/>
    <w:qFormat/>
    <w:pPr>
      <w:suppressLineNumbers/>
      <w:spacing w:before="120" w:after="120"/>
    </w:pPr>
    <w:rPr>
      <w:rFonts w:cs="Arial"/>
      <w:i/>
      <w:iCs/>
    </w:rPr>
  </w:style>
  <w:style w:type="paragraph" w:customStyle="1" w:styleId="Caption13">
    <w:name w:val="Caption13"/>
    <w:basedOn w:val="Normal"/>
    <w:qFormat/>
    <w:pPr>
      <w:suppressLineNumbers/>
      <w:spacing w:before="120" w:after="120"/>
    </w:pPr>
    <w:rPr>
      <w:rFonts w:cs="Arial"/>
      <w:i/>
      <w:iCs/>
    </w:rPr>
  </w:style>
  <w:style w:type="paragraph" w:customStyle="1" w:styleId="Caption2">
    <w:name w:val="Caption2"/>
    <w:basedOn w:val="Normal"/>
    <w:qFormat/>
    <w:pPr>
      <w:suppressLineNumbers/>
      <w:spacing w:before="120" w:after="120"/>
    </w:pPr>
    <w:rPr>
      <w:rFonts w:cs="Arial"/>
      <w:i/>
      <w:iCs/>
    </w:rPr>
  </w:style>
  <w:style w:type="paragraph" w:customStyle="1" w:styleId="Textopreformateado">
    <w:name w:val="Texto preformateado"/>
    <w:basedOn w:val="Normal"/>
    <w:qFormat/>
    <w:pPr>
      <w:spacing w:after="0"/>
    </w:pPr>
    <w:rPr>
      <w:rFonts w:ascii="Liberation Mono;Courier New" w:eastAsia="NSimSun" w:hAnsi="Liberation Mono;Courier New" w:cs="Liberation Mono;Courier New"/>
      <w:sz w:val="20"/>
      <w:szCs w:val="20"/>
    </w:rPr>
  </w:style>
  <w:style w:type="paragraph" w:customStyle="1" w:styleId="Citaenbloque">
    <w:name w:val="Cita en bloque"/>
    <w:basedOn w:val="Normal"/>
    <w:qFormat/>
    <w:pPr>
      <w:spacing w:after="283"/>
      <w:ind w:left="567" w:right="567"/>
    </w:pPr>
  </w:style>
  <w:style w:type="paragraph" w:customStyle="1" w:styleId="Lneahorizontal">
    <w:name w:val="Línea horizontal"/>
    <w:basedOn w:val="Normal"/>
    <w:next w:val="Textoindependiente"/>
    <w:qFormat/>
    <w:pPr>
      <w:suppressLineNumbers/>
      <w:pBdr>
        <w:bottom w:val="double" w:sz="2" w:space="0" w:color="808080"/>
      </w:pBdr>
      <w:spacing w:after="283"/>
    </w:pPr>
    <w:rPr>
      <w:sz w:val="12"/>
      <w:szCs w:val="12"/>
    </w:rPr>
  </w:style>
  <w:style w:type="paragraph" w:styleId="Sangra2detindependiente">
    <w:name w:val="Body Text Indent 2"/>
    <w:basedOn w:val="Normal"/>
    <w:qFormat/>
    <w:pPr>
      <w:tabs>
        <w:tab w:val="left" w:pos="0"/>
      </w:tabs>
      <w:ind w:left="851" w:hanging="142"/>
      <w:jc w:val="both"/>
    </w:pPr>
    <w:rPr>
      <w:rFonts w:ascii="Univers;Arial" w:eastAsia="Times New Roman" w:hAnsi="Univers;Arial" w:cs="Univers;Arial"/>
      <w:szCs w:val="20"/>
    </w:rPr>
  </w:style>
  <w:style w:type="paragraph" w:styleId="Sinespaciado">
    <w:name w:val="No Spacing"/>
    <w:qFormat/>
    <w:rPr>
      <w:color w:val="00000A"/>
    </w:rPr>
  </w:style>
  <w:style w:type="paragraph" w:customStyle="1" w:styleId="Encabezado5">
    <w:name w:val="Encabezado 5"/>
    <w:basedOn w:val="Normal"/>
    <w:qFormat/>
    <w:pPr>
      <w:spacing w:before="240" w:after="60"/>
      <w:outlineLvl w:val="4"/>
    </w:pPr>
    <w:rPr>
      <w:b/>
      <w:bCs/>
      <w:i/>
      <w:iCs/>
      <w:sz w:val="26"/>
      <w:szCs w:val="26"/>
    </w:rPr>
  </w:style>
  <w:style w:type="paragraph" w:customStyle="1" w:styleId="caption3">
    <w:name w:val="caption3"/>
    <w:basedOn w:val="Normal"/>
    <w:qFormat/>
    <w:pPr>
      <w:suppressLineNumbers/>
      <w:spacing w:before="120" w:after="120"/>
    </w:pPr>
    <w:rPr>
      <w:rFonts w:cs="Mangal"/>
      <w:i/>
      <w:iCs/>
    </w:rPr>
  </w:style>
  <w:style w:type="paragraph" w:customStyle="1" w:styleId="Poromisin">
    <w:name w:val="Por omisión"/>
    <w:qFormat/>
    <w:pPr>
      <w:spacing w:before="160" w:line="288" w:lineRule="auto"/>
    </w:pPr>
    <w:rPr>
      <w:rFonts w:ascii="Helvetica Neue" w:hAnsi="Helvetica Neue" w:cs="Arial Unicode MS"/>
      <w:color w:val="000000"/>
      <w:sz w:val="24"/>
      <w:szCs w:val="24"/>
      <w:lang w:val="es-ES_tradnl"/>
      <w14:textOutline w14:w="0" w14:cap="flat" w14:cmpd="sng" w14:algn="ctr">
        <w14:noFill/>
        <w14:prstDash w14:val="solid"/>
        <w14:bevel/>
      </w14:textOutline>
    </w:rPr>
  </w:style>
  <w:style w:type="paragraph" w:customStyle="1" w:styleId="Textoindependiente22">
    <w:name w:val="Texto independiente 22"/>
    <w:basedOn w:val="Normal"/>
    <w:qFormat/>
    <w:pPr>
      <w:jc w:val="center"/>
    </w:pPr>
    <w:rPr>
      <w:rFonts w:ascii="Arial" w:hAnsi="Arial" w:cs="Arial"/>
      <w:color w:val="000000"/>
      <w:kern w:val="2"/>
      <w:sz w:val="20"/>
      <w:lang w:eastAsia="zh-CN"/>
    </w:rPr>
  </w:style>
  <w:style w:type="paragraph" w:styleId="Textoindependiente2">
    <w:name w:val="Body Text 2"/>
    <w:basedOn w:val="Normal"/>
    <w:qFormat/>
    <w:pPr>
      <w:jc w:val="center"/>
    </w:pPr>
    <w:rPr>
      <w:rFonts w:ascii="Arial" w:hAnsi="Arial"/>
    </w:rPr>
  </w:style>
  <w:style w:type="paragraph" w:styleId="Textoindependiente3">
    <w:name w:val="Body Text 3"/>
    <w:basedOn w:val="Normal"/>
    <w:qFormat/>
    <w:pPr>
      <w:spacing w:after="120"/>
    </w:pPr>
    <w:rPr>
      <w:sz w:val="16"/>
      <w:szCs w:val="16"/>
    </w:rPr>
  </w:style>
  <w:style w:type="numbering" w:customStyle="1" w:styleId="Ningunalista">
    <w:name w:val="Ninguna lista"/>
    <w:qFormat/>
  </w:style>
  <w:style w:type="numbering" w:customStyle="1" w:styleId="WW8Num2">
    <w:name w:val="WW8Num2"/>
    <w:qFormat/>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3</Pages>
  <Words>1152</Words>
  <Characters>6336</Characters>
  <Application>Microsoft Office Word</Application>
  <DocSecurity>0</DocSecurity>
  <Lines>52</Lines>
  <Paragraphs>14</Paragraphs>
  <ScaleCrop>false</ScaleCrop>
  <Company>ayto</Company>
  <LinksUpToDate>false</LinksUpToDate>
  <CharactersWithSpaces>7474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45</cp:revision>
  <cp:lastPrinted>2025-05-30T10:16:00Z</cp:lastPrinted>
  <dcterms:created xsi:type="dcterms:W3CDTF">2025-05-24T11:25:00Z</dcterms:created>
  <dcterms:modified xsi:type="dcterms:W3CDTF">2025-05-30T08:27:00Z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