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138C24E" w14:textId="77777777" w:rsidR="004E5994" w:rsidRDefault="008C67F0">
      <w:pPr>
        <w:spacing w:after="0"/>
        <w:rPr>
          <w:color w:val="auto"/>
          <w:sz w:val="40"/>
          <w:szCs w:val="40"/>
        </w:rPr>
      </w:pPr>
      <w:r>
        <w:rPr>
          <w:rFonts w:ascii="Arial Narrow" w:eastAsia="Malgun Gothic" w:hAnsi="Arial Narrow" w:cs="Helvetica"/>
          <w:b/>
          <w:bCs/>
          <w:color w:val="auto"/>
          <w:spacing w:val="-2"/>
          <w:sz w:val="40"/>
          <w:szCs w:val="40"/>
          <w:lang w:eastAsia="es-ES_tradnl" w:bidi="hi-IN"/>
        </w:rPr>
        <w:t>La presentación del Avance del Plan Especial de Energías Renovables inicia la tramitación para dotar a Jerez de la herramienta que regulará la implantación de instalaciones productoras de energías renovables</w:t>
      </w:r>
    </w:p>
    <w:p w14:paraId="7982CB27" w14:textId="77777777" w:rsidR="004E5994" w:rsidRDefault="004E5994">
      <w:pPr>
        <w:rPr>
          <w:sz w:val="32"/>
          <w:szCs w:val="32"/>
        </w:rPr>
      </w:pPr>
    </w:p>
    <w:p w14:paraId="29B88670" w14:textId="77777777" w:rsidR="004E5994" w:rsidRDefault="008C67F0">
      <w:pPr>
        <w:jc w:val="both"/>
      </w:pPr>
      <w:r>
        <w:rPr>
          <w:rFonts w:ascii="Arial Narrow" w:eastAsia="Malgun Gothic" w:hAnsi="Arial Narrow" w:cs="Helvetica"/>
          <w:b/>
          <w:bCs/>
          <w:color w:val="000000"/>
          <w:sz w:val="26"/>
          <w:szCs w:val="26"/>
          <w:lang w:eastAsia="es-ES_tradnl"/>
        </w:rPr>
        <w:t>11 de junio de 2025.</w:t>
      </w:r>
      <w:r>
        <w:rPr>
          <w:rFonts w:ascii="Arial Narrow" w:eastAsia="Malgun Gothic" w:hAnsi="Arial Narrow" w:cs="Helvetica"/>
          <w:color w:val="000000"/>
          <w:sz w:val="26"/>
          <w:szCs w:val="26"/>
          <w:lang w:eastAsia="es-ES_tradnl"/>
        </w:rPr>
        <w:t xml:space="preserve"> La delegada de Urbanismo y Vivienda, Belén de la Cuadra, ha subrayado la importancia del nuevo proceso participativo que se abre nuevamente tras la presentación del </w:t>
      </w:r>
      <w:r>
        <w:rPr>
          <w:rFonts w:ascii="Arial Narrow" w:eastAsia="Malgun Gothic" w:hAnsi="Arial Narrow" w:cs="Helvetica"/>
          <w:color w:val="auto"/>
          <w:sz w:val="26"/>
          <w:szCs w:val="26"/>
          <w:lang w:eastAsia="es-ES_tradnl"/>
        </w:rPr>
        <w:t>Avance del Plan Especial y la Documentación Ambiental reguladora de la implantación de pro</w:t>
      </w:r>
      <w:r>
        <w:rPr>
          <w:rFonts w:ascii="Arial Narrow" w:eastAsia="Malgun Gothic" w:hAnsi="Arial Narrow" w:cs="Helvetica"/>
          <w:color w:val="auto"/>
          <w:sz w:val="26"/>
          <w:szCs w:val="26"/>
          <w:lang w:eastAsia="es-ES_tradnl"/>
        </w:rPr>
        <w:t xml:space="preserve">yectos de producción y almacenamiento de Energías Renovables en el suelo rústico de Jerez. El acto, que ha tenido lugar en el Palacio </w:t>
      </w:r>
      <w:proofErr w:type="spellStart"/>
      <w:r>
        <w:rPr>
          <w:rFonts w:ascii="Arial Narrow" w:eastAsia="Malgun Gothic" w:hAnsi="Arial Narrow" w:cs="Helvetica"/>
          <w:color w:val="auto"/>
          <w:sz w:val="26"/>
          <w:szCs w:val="26"/>
          <w:lang w:eastAsia="es-ES_tradnl"/>
        </w:rPr>
        <w:t>Villapanés</w:t>
      </w:r>
      <w:proofErr w:type="spellEnd"/>
      <w:r>
        <w:rPr>
          <w:rFonts w:ascii="Arial Narrow" w:eastAsia="Malgun Gothic" w:hAnsi="Arial Narrow" w:cs="Helvetica"/>
          <w:color w:val="auto"/>
          <w:sz w:val="26"/>
          <w:szCs w:val="26"/>
          <w:lang w:eastAsia="es-ES_tradnl"/>
        </w:rPr>
        <w:t xml:space="preserve">, y que ha estado a cargo de Manuel A. González </w:t>
      </w:r>
      <w:proofErr w:type="spellStart"/>
      <w:r>
        <w:rPr>
          <w:rFonts w:ascii="Arial Narrow" w:eastAsia="Malgun Gothic" w:hAnsi="Arial Narrow" w:cs="Helvetica"/>
          <w:color w:val="auto"/>
          <w:sz w:val="26"/>
          <w:szCs w:val="26"/>
          <w:lang w:eastAsia="es-ES_tradnl"/>
        </w:rPr>
        <w:t>Fustegueras</w:t>
      </w:r>
      <w:proofErr w:type="spellEnd"/>
      <w:r>
        <w:rPr>
          <w:rFonts w:ascii="Arial Narrow" w:eastAsia="Malgun Gothic" w:hAnsi="Arial Narrow" w:cs="Helvetica"/>
          <w:color w:val="auto"/>
          <w:sz w:val="26"/>
          <w:szCs w:val="26"/>
          <w:lang w:eastAsia="es-ES_tradnl"/>
        </w:rPr>
        <w:t>, arquitecto y urbanista coordinador y director del e</w:t>
      </w:r>
      <w:r>
        <w:rPr>
          <w:rFonts w:ascii="Arial Narrow" w:eastAsia="Malgun Gothic" w:hAnsi="Arial Narrow" w:cs="Helvetica"/>
          <w:color w:val="auto"/>
          <w:sz w:val="26"/>
          <w:szCs w:val="26"/>
          <w:lang w:eastAsia="es-ES_tradnl"/>
        </w:rPr>
        <w:t xml:space="preserve">quipo de la </w:t>
      </w:r>
      <w:r>
        <w:rPr>
          <w:rStyle w:val="Textoennegrita"/>
          <w:rFonts w:ascii="Arial Narrow" w:eastAsia="Malgun Gothic" w:hAnsi="Arial Narrow" w:cs="Helvetica"/>
          <w:b w:val="0"/>
          <w:bCs w:val="0"/>
          <w:color w:val="auto"/>
          <w:sz w:val="26"/>
          <w:szCs w:val="26"/>
          <w:lang w:eastAsia="es-ES_tradnl"/>
        </w:rPr>
        <w:t xml:space="preserve">consultora Territorio y Ciudad, marca el inicio de la </w:t>
      </w:r>
      <w:r>
        <w:rPr>
          <w:rStyle w:val="Textoennegrita"/>
          <w:rFonts w:ascii="Arial Narrow" w:eastAsia="Malgun Gothic" w:hAnsi="Arial Narrow" w:cs="Helvetica"/>
          <w:b w:val="0"/>
          <w:bCs w:val="0"/>
          <w:color w:val="auto"/>
          <w:spacing w:val="-2"/>
          <w:sz w:val="26"/>
          <w:szCs w:val="26"/>
          <w:lang w:eastAsia="es-ES_tradnl" w:bidi="hi-IN"/>
        </w:rPr>
        <w:t xml:space="preserve">tramitación necesaria para dotar a Jerez de la herramienta de ordenación que regulará la implantación de instalaciones productoras de energías renovables. </w:t>
      </w:r>
    </w:p>
    <w:p w14:paraId="270A5207" w14:textId="77777777" w:rsidR="004E5994" w:rsidRDefault="008C67F0">
      <w:pPr>
        <w:jc w:val="both"/>
        <w:rPr>
          <w:rFonts w:ascii="Arial Narrow" w:hAnsi="Arial Narrow"/>
          <w:sz w:val="26"/>
          <w:szCs w:val="26"/>
        </w:rPr>
      </w:pPr>
      <w:r>
        <w:rPr>
          <w:rFonts w:ascii="Arial Narrow" w:eastAsia="Malgun Gothic" w:hAnsi="Arial Narrow" w:cs="Helvetica"/>
          <w:color w:val="000000"/>
          <w:sz w:val="26"/>
          <w:szCs w:val="26"/>
          <w:lang w:eastAsia="es-ES_tradnl"/>
        </w:rPr>
        <w:t>A la presentación asistieron, adem</w:t>
      </w:r>
      <w:r>
        <w:rPr>
          <w:rFonts w:ascii="Arial Narrow" w:eastAsia="Malgun Gothic" w:hAnsi="Arial Narrow" w:cs="Helvetica"/>
          <w:color w:val="000000"/>
          <w:sz w:val="26"/>
          <w:szCs w:val="26"/>
          <w:lang w:eastAsia="es-ES_tradnl"/>
        </w:rPr>
        <w:t>ás de la responsable municipal, y miembros del equipo de esta empresa, representantes de colectivos y entidades sociales, económicos y vecinales vinculados a este proyecto, técnicos municipales, así como personas interesadas en conocer detalles del Avance.</w:t>
      </w:r>
      <w:r>
        <w:rPr>
          <w:rFonts w:ascii="Arial Narrow" w:eastAsia="Malgun Gothic" w:hAnsi="Arial Narrow" w:cs="Helvetica"/>
          <w:color w:val="000000"/>
          <w:sz w:val="26"/>
          <w:szCs w:val="26"/>
          <w:lang w:eastAsia="es-ES_tradnl"/>
        </w:rPr>
        <w:t xml:space="preserve"> En el transcurso del acto, se ha invitado a la</w:t>
      </w:r>
      <w:r>
        <w:rPr>
          <w:rFonts w:ascii="Arial Narrow" w:eastAsia="Malgun Gothic" w:hAnsi="Arial Narrow" w:cs="Arial"/>
          <w:color w:val="000000"/>
          <w:sz w:val="26"/>
          <w:szCs w:val="26"/>
          <w:lang w:eastAsia="es-ES_tradnl"/>
        </w:rPr>
        <w:t xml:space="preserve"> ciudadanía a aportar ideas y sugerencias al borrador del Plan Especial al objeto de enriquecer el documento final y lograr un mayor consenso en la propuesta de documento que se llevará a Pleno para su aprobac</w:t>
      </w:r>
      <w:r>
        <w:rPr>
          <w:rFonts w:ascii="Arial Narrow" w:eastAsia="Malgun Gothic" w:hAnsi="Arial Narrow" w:cs="Arial"/>
          <w:color w:val="000000"/>
          <w:sz w:val="26"/>
          <w:szCs w:val="26"/>
          <w:lang w:eastAsia="es-ES_tradnl"/>
        </w:rPr>
        <w:t xml:space="preserve">ión inicial. </w:t>
      </w:r>
    </w:p>
    <w:p w14:paraId="51F99A21" w14:textId="77777777" w:rsidR="004E5994" w:rsidRDefault="008C67F0">
      <w:pPr>
        <w:jc w:val="both"/>
        <w:rPr>
          <w:rFonts w:ascii="Arial Narrow" w:hAnsi="Arial Narrow"/>
          <w:sz w:val="26"/>
          <w:szCs w:val="26"/>
        </w:rPr>
      </w:pPr>
      <w:r>
        <w:rPr>
          <w:rFonts w:ascii="Arial Narrow" w:eastAsia="Malgun Gothic" w:hAnsi="Arial Narrow" w:cs="Helvetica"/>
          <w:color w:val="000000"/>
          <w:sz w:val="26"/>
          <w:szCs w:val="26"/>
          <w:lang w:eastAsia="es-ES_tradnl"/>
        </w:rPr>
        <w:t>Como se ha venido explicando desde el Gobierno Municipal, este instrumento de ordenación urbanística va a servir para establecer normas, directrices y criterios dirigidos a regular la implantación de actividades de producción y almacenamiento</w:t>
      </w:r>
      <w:r>
        <w:rPr>
          <w:rFonts w:ascii="Arial Narrow" w:eastAsia="Malgun Gothic" w:hAnsi="Arial Narrow" w:cs="Helvetica"/>
          <w:color w:val="000000"/>
          <w:sz w:val="26"/>
          <w:szCs w:val="26"/>
          <w:lang w:eastAsia="es-ES_tradnl"/>
        </w:rPr>
        <w:t xml:space="preserve"> de todos tipo de energías renovables, sin perjudicar los valores del medio rural, </w:t>
      </w:r>
      <w:proofErr w:type="spellStart"/>
      <w:r>
        <w:rPr>
          <w:rFonts w:ascii="Arial Narrow" w:eastAsia="Malgun Gothic" w:hAnsi="Arial Narrow" w:cs="Helvetica"/>
          <w:color w:val="000000"/>
          <w:sz w:val="26"/>
          <w:szCs w:val="26"/>
          <w:lang w:eastAsia="es-ES_tradnl"/>
        </w:rPr>
        <w:t>y</w:t>
      </w:r>
      <w:proofErr w:type="spellEnd"/>
      <w:r>
        <w:rPr>
          <w:rFonts w:ascii="Arial Narrow" w:eastAsia="Malgun Gothic" w:hAnsi="Arial Narrow" w:cs="Helvetica"/>
          <w:color w:val="000000"/>
          <w:sz w:val="26"/>
          <w:szCs w:val="26"/>
          <w:lang w:eastAsia="es-ES_tradnl"/>
        </w:rPr>
        <w:t xml:space="preserve"> impulsando, a su vez, el desarrollo económico y social del territorio. </w:t>
      </w:r>
    </w:p>
    <w:p w14:paraId="6F9AB7AE" w14:textId="77777777" w:rsidR="004E5994" w:rsidRDefault="008C67F0">
      <w:pPr>
        <w:jc w:val="both"/>
        <w:rPr>
          <w:rFonts w:ascii="Arial Narrow" w:hAnsi="Arial Narrow"/>
          <w:sz w:val="26"/>
          <w:szCs w:val="26"/>
        </w:rPr>
      </w:pPr>
      <w:r>
        <w:rPr>
          <w:rFonts w:ascii="Arial Narrow" w:eastAsia="Malgun Gothic" w:hAnsi="Arial Narrow" w:cs="Helvetica"/>
          <w:color w:val="000000"/>
          <w:sz w:val="26"/>
          <w:szCs w:val="26"/>
          <w:lang w:eastAsia="es-ES_tradnl"/>
        </w:rPr>
        <w:t>Tal y como se explicó durante la presentación, el Avance o borrador del Plan se acompaña de un Docu</w:t>
      </w:r>
      <w:r>
        <w:rPr>
          <w:rFonts w:ascii="Arial Narrow" w:eastAsia="Malgun Gothic" w:hAnsi="Arial Narrow" w:cs="Helvetica"/>
          <w:color w:val="000000"/>
          <w:sz w:val="26"/>
          <w:szCs w:val="26"/>
          <w:lang w:eastAsia="es-ES_tradnl"/>
        </w:rPr>
        <w:t>mento Inicial Estratégico necesario para la obtención de la Declaración Ambiental Estratégica del Plan Especial. Ambos documentos</w:t>
      </w:r>
      <w:r>
        <w:rPr>
          <w:rFonts w:ascii="Arial Narrow" w:hAnsi="Arial Narrow"/>
          <w:sz w:val="26"/>
          <w:szCs w:val="26"/>
        </w:rPr>
        <w:t xml:space="preserve"> constituyen una fase inicial y estratégica en la elaboración de planes bajo el marco de la Ley de Impulso para la Sostenibilid</w:t>
      </w:r>
      <w:r>
        <w:rPr>
          <w:rFonts w:ascii="Arial Narrow" w:hAnsi="Arial Narrow"/>
          <w:sz w:val="26"/>
          <w:szCs w:val="26"/>
        </w:rPr>
        <w:t>ad del Territorio de Andalucia (LISTA) y su Reglamento, siendo sus funciones principales las de hacer un diagnóstico, análisis y debate previo; servir de base para la redacción del documento definitivo; garantizar un proceso participativo, transparente y s</w:t>
      </w:r>
      <w:r>
        <w:rPr>
          <w:rFonts w:ascii="Arial Narrow" w:hAnsi="Arial Narrow"/>
          <w:sz w:val="26"/>
          <w:szCs w:val="26"/>
        </w:rPr>
        <w:t>ostenible; integrar estrategias iniciales y consultas públicas; identificar y resolver conflictos tempranamente; y promover una ordenación territorial más eficaz.</w:t>
      </w:r>
    </w:p>
    <w:p w14:paraId="1D858A4B" w14:textId="77777777" w:rsidR="004E5994" w:rsidRDefault="004E5994">
      <w:pPr>
        <w:jc w:val="both"/>
        <w:rPr>
          <w:rFonts w:ascii="Arial Narrow" w:eastAsia="Malgun Gothic" w:hAnsi="Arial Narrow" w:cs="Helvetica"/>
          <w:b/>
          <w:bCs/>
          <w:color w:val="000000"/>
          <w:sz w:val="26"/>
          <w:szCs w:val="26"/>
          <w:lang w:eastAsia="es-ES_tradnl"/>
        </w:rPr>
      </w:pPr>
    </w:p>
    <w:p w14:paraId="2717314B" w14:textId="77777777" w:rsidR="004E5994" w:rsidRDefault="008C67F0">
      <w:pPr>
        <w:jc w:val="both"/>
        <w:rPr>
          <w:rFonts w:ascii="Arial Narrow" w:eastAsia="Malgun Gothic" w:hAnsi="Arial Narrow" w:cs="Helvetica"/>
          <w:b/>
          <w:bCs/>
          <w:color w:val="000000"/>
          <w:sz w:val="26"/>
          <w:szCs w:val="26"/>
          <w:lang w:eastAsia="es-ES_tradnl"/>
        </w:rPr>
      </w:pPr>
      <w:r>
        <w:rPr>
          <w:rFonts w:ascii="Arial Narrow" w:eastAsia="Malgun Gothic" w:hAnsi="Arial Narrow" w:cs="Helvetica"/>
          <w:b/>
          <w:bCs/>
          <w:color w:val="000000"/>
          <w:sz w:val="26"/>
          <w:szCs w:val="26"/>
          <w:lang w:eastAsia="es-ES_tradnl"/>
        </w:rPr>
        <w:lastRenderedPageBreak/>
        <w:t xml:space="preserve">Objetivos específicos del Plan Especial </w:t>
      </w:r>
    </w:p>
    <w:p w14:paraId="3FCAE01D" w14:textId="77777777" w:rsidR="004E5994" w:rsidRDefault="008C67F0">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 xml:space="preserve">Manuel </w:t>
      </w:r>
      <w:proofErr w:type="spellStart"/>
      <w:r>
        <w:rPr>
          <w:rFonts w:ascii="Arial Narrow" w:eastAsia="Malgun Gothic" w:hAnsi="Arial Narrow" w:cs="Helvetica"/>
          <w:color w:val="000000"/>
          <w:sz w:val="26"/>
          <w:szCs w:val="26"/>
          <w:lang w:eastAsia="es-ES_tradnl"/>
        </w:rPr>
        <w:t>Fustegueras</w:t>
      </w:r>
      <w:proofErr w:type="spellEnd"/>
      <w:r>
        <w:rPr>
          <w:rFonts w:ascii="Arial Narrow" w:eastAsia="Malgun Gothic" w:hAnsi="Arial Narrow" w:cs="Helvetica"/>
          <w:color w:val="000000"/>
          <w:sz w:val="26"/>
          <w:szCs w:val="26"/>
          <w:lang w:eastAsia="es-ES_tradnl"/>
        </w:rPr>
        <w:t xml:space="preserve"> ha comenzado su exposición centrándose en los objetivos que se persiguen con la redacción de este Plan Especial, entre los que figuran los de favorecer la transición energética en Jerez; propiciar un despliegue racional y equilibrado territorialmente de l</w:t>
      </w:r>
      <w:r>
        <w:rPr>
          <w:rFonts w:ascii="Arial Narrow" w:eastAsia="Malgun Gothic" w:hAnsi="Arial Narrow" w:cs="Helvetica"/>
          <w:color w:val="000000"/>
          <w:sz w:val="26"/>
          <w:szCs w:val="26"/>
          <w:lang w:eastAsia="es-ES_tradnl"/>
        </w:rPr>
        <w:t>as instalaciones de energías renovables en Jerez, asegurando que su planificación y ejecución se realicen bajo criterios de sostenibilidad ambiental, cohesión social y viabilidad económica; y  utilizar el proceso de transición energética como una oportunid</w:t>
      </w:r>
      <w:r>
        <w:rPr>
          <w:rFonts w:ascii="Arial Narrow" w:eastAsia="Malgun Gothic" w:hAnsi="Arial Narrow" w:cs="Helvetica"/>
          <w:color w:val="000000"/>
          <w:sz w:val="26"/>
          <w:szCs w:val="26"/>
          <w:lang w:eastAsia="es-ES_tradnl"/>
        </w:rPr>
        <w:t xml:space="preserve">ad para democratizar la producción de energía endógena en la ciudad. </w:t>
      </w:r>
    </w:p>
    <w:p w14:paraId="65049884" w14:textId="77777777" w:rsidR="004E5994" w:rsidRDefault="008C67F0">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En suma, este Plan contribuirá a establecer criterios y medidas específicas para la integración y compensación territorial y paisajística de las instalaciones energéticas renovables en J</w:t>
      </w:r>
      <w:r>
        <w:rPr>
          <w:rFonts w:ascii="Arial Narrow" w:eastAsia="Malgun Gothic" w:hAnsi="Arial Narrow" w:cs="Helvetica"/>
          <w:color w:val="000000"/>
          <w:sz w:val="26"/>
          <w:szCs w:val="26"/>
          <w:lang w:eastAsia="es-ES_tradnl"/>
        </w:rPr>
        <w:t xml:space="preserve">erez, asegurando que el desarrollo de estas infraestructuras respete la identidad territorial, cultural y ambiental del municipio. </w:t>
      </w:r>
    </w:p>
    <w:p w14:paraId="7C5BF3F0" w14:textId="77777777" w:rsidR="004E5994" w:rsidRDefault="008C67F0">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 xml:space="preserve">Para lograr estos objetivos, se han analizado una serie de alternativas de ordenación y regulación, eligiéndose como la más </w:t>
      </w:r>
      <w:r>
        <w:rPr>
          <w:rFonts w:ascii="Arial Narrow" w:eastAsia="Malgun Gothic" w:hAnsi="Arial Narrow" w:cs="Helvetica"/>
          <w:color w:val="000000"/>
          <w:sz w:val="26"/>
          <w:szCs w:val="26"/>
          <w:lang w:eastAsia="es-ES_tradnl"/>
        </w:rPr>
        <w:t>idónea y adecuada la opción que permite una localización óptima en la que se delimitan zonas según el tipo de recurso energético al que se destine (solar, eólico, biomasa, hidrógeno, geotermia, almacenamiento). Este modelo permite una planificación más esp</w:t>
      </w:r>
      <w:r>
        <w:rPr>
          <w:rFonts w:ascii="Arial Narrow" w:eastAsia="Malgun Gothic" w:hAnsi="Arial Narrow" w:cs="Helvetica"/>
          <w:color w:val="000000"/>
          <w:sz w:val="26"/>
          <w:szCs w:val="26"/>
          <w:lang w:eastAsia="es-ES_tradnl"/>
        </w:rPr>
        <w:t xml:space="preserve">ecializada y una mayor integración territorial. </w:t>
      </w:r>
    </w:p>
    <w:p w14:paraId="6EAA4548" w14:textId="77777777" w:rsidR="004E5994" w:rsidRDefault="008C67F0">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Asimismo, este modelo de ordenación incluye establecer una serie de criterios de integración paisajística de implantación y contextualización (término que se refiere a las características constructivas de la</w:t>
      </w:r>
      <w:r>
        <w:rPr>
          <w:rFonts w:ascii="Arial Narrow" w:eastAsia="Malgun Gothic" w:hAnsi="Arial Narrow" w:cs="Helvetica"/>
          <w:color w:val="000000"/>
          <w:sz w:val="26"/>
          <w:szCs w:val="26"/>
          <w:lang w:eastAsia="es-ES_tradnl"/>
        </w:rPr>
        <w:t xml:space="preserve"> instalación solar o eólica respecto al paisaje donde se instala), tanto generales como específicos, según el tipo de instalación. </w:t>
      </w:r>
    </w:p>
    <w:p w14:paraId="1530C82E" w14:textId="77777777" w:rsidR="004E5994" w:rsidRDefault="008C67F0">
      <w:pPr>
        <w:jc w:val="both"/>
        <w:rPr>
          <w:rFonts w:ascii="Arial Narrow" w:eastAsia="Malgun Gothic" w:hAnsi="Arial Narrow" w:cs="Helvetica"/>
          <w:b/>
          <w:bCs/>
          <w:color w:val="000000"/>
          <w:sz w:val="26"/>
          <w:szCs w:val="26"/>
          <w:lang w:eastAsia="es-ES_tradnl"/>
        </w:rPr>
      </w:pPr>
      <w:r>
        <w:rPr>
          <w:rFonts w:ascii="Arial Narrow" w:eastAsia="Malgun Gothic" w:hAnsi="Arial Narrow" w:cs="Helvetica"/>
          <w:b/>
          <w:bCs/>
          <w:color w:val="000000"/>
          <w:sz w:val="26"/>
          <w:szCs w:val="26"/>
          <w:lang w:eastAsia="es-ES_tradnl"/>
        </w:rPr>
        <w:t>Criterios generales de implantación de energías renovables</w:t>
      </w:r>
    </w:p>
    <w:p w14:paraId="0B7C4B48" w14:textId="77777777" w:rsidR="004E5994" w:rsidRDefault="008C67F0">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 xml:space="preserve">En líneas generales, el objetivo principal de estos criterios es </w:t>
      </w:r>
      <w:r>
        <w:rPr>
          <w:rFonts w:ascii="Arial Narrow" w:eastAsia="Malgun Gothic" w:hAnsi="Arial Narrow" w:cs="Helvetica"/>
          <w:color w:val="000000"/>
          <w:sz w:val="26"/>
          <w:szCs w:val="26"/>
          <w:lang w:eastAsia="es-ES_tradnl"/>
        </w:rPr>
        <w:t>guiar el desarrollo en Jerez de energías renovables, asegurando en todo momento una transición energética ordenada, sostenible y respetuosa con el territorio, el medio ambiente y las comunidades locales.</w:t>
      </w:r>
    </w:p>
    <w:p w14:paraId="3A60AFF8" w14:textId="07FF3206" w:rsidR="004E5994" w:rsidRDefault="008C67F0">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En este sentido, como criterios más relevantes figur</w:t>
      </w:r>
      <w:r>
        <w:rPr>
          <w:rFonts w:ascii="Arial Narrow" w:eastAsia="Malgun Gothic" w:hAnsi="Arial Narrow" w:cs="Helvetica"/>
          <w:color w:val="000000"/>
          <w:sz w:val="26"/>
          <w:szCs w:val="26"/>
          <w:lang w:eastAsia="es-ES_tradnl"/>
        </w:rPr>
        <w:t>an, en primer lugar, el de favorecer su implantación en ‘ubicaciones prioritarias’, como pueden ser suelos artificiales, degradados, sin uso agrícola o marginales,</w:t>
      </w:r>
      <w:r w:rsidR="00397368">
        <w:rPr>
          <w:rFonts w:ascii="Arial Narrow" w:eastAsia="Malgun Gothic" w:hAnsi="Arial Narrow" w:cs="Helvetica"/>
          <w:color w:val="000000"/>
          <w:sz w:val="26"/>
          <w:szCs w:val="26"/>
          <w:lang w:eastAsia="es-ES_tradnl"/>
        </w:rPr>
        <w:t xml:space="preserve"> </w:t>
      </w:r>
      <w:r>
        <w:rPr>
          <w:rFonts w:ascii="Arial Narrow" w:eastAsia="Malgun Gothic" w:hAnsi="Arial Narrow" w:cs="Helvetica"/>
          <w:color w:val="000000"/>
          <w:sz w:val="26"/>
          <w:szCs w:val="26"/>
          <w:lang w:eastAsia="es-ES_tradnl"/>
        </w:rPr>
        <w:t>especialmente cerca de infraestructuras existentes. Se pretende así regenerar paisajes deter</w:t>
      </w:r>
      <w:r>
        <w:rPr>
          <w:rFonts w:ascii="Arial Narrow" w:eastAsia="Malgun Gothic" w:hAnsi="Arial Narrow" w:cs="Helvetica"/>
          <w:color w:val="000000"/>
          <w:sz w:val="26"/>
          <w:szCs w:val="26"/>
          <w:lang w:eastAsia="es-ES_tradnl"/>
        </w:rPr>
        <w:t>iorados y minimizar el uso de suelos productivos o de alto valor territorial.</w:t>
      </w:r>
    </w:p>
    <w:p w14:paraId="2B3B83D9" w14:textId="5F5D98B0" w:rsidR="008C67F0" w:rsidRDefault="008C67F0">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En segundo lugar, se ha adoptado el criterio de ‘compatibilidad territorial’, que significa que  la normativa establecerá prohibiciones específicas en zonas consideradas aptas pa</w:t>
      </w:r>
      <w:r>
        <w:rPr>
          <w:rFonts w:ascii="Arial Narrow" w:eastAsia="Malgun Gothic" w:hAnsi="Arial Narrow" w:cs="Helvetica"/>
          <w:color w:val="000000"/>
          <w:sz w:val="26"/>
          <w:szCs w:val="26"/>
          <w:lang w:eastAsia="es-ES_tradnl"/>
        </w:rPr>
        <w:t xml:space="preserve">ra proteger valores ambientales, agrícolas y patrimoniales, incluyendo aquí el paisaje como valor patrimonial alineándose con las tendencias previsibles en la nueva ley de patrimonio andaluz. </w:t>
      </w:r>
    </w:p>
    <w:p w14:paraId="316E5A8C" w14:textId="77777777" w:rsidR="004E5994" w:rsidRDefault="008C67F0">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El tercer criterio para la implantación de energías renovables s</w:t>
      </w:r>
      <w:r>
        <w:rPr>
          <w:rFonts w:ascii="Arial Narrow" w:eastAsia="Malgun Gothic" w:hAnsi="Arial Narrow" w:cs="Helvetica"/>
          <w:color w:val="000000"/>
          <w:sz w:val="26"/>
          <w:szCs w:val="26"/>
          <w:lang w:eastAsia="es-ES_tradnl"/>
        </w:rPr>
        <w:t>ería el de ‘compatibilidad con elementos clave del territorio’; en este sentido, cabe destacar que se establece una distancia mínima de 1.000 metros desde el suelo urbano y urbanizable hasta las futuras instalaciones, metros); asimismo, se protege la relac</w:t>
      </w:r>
      <w:r>
        <w:rPr>
          <w:rFonts w:ascii="Arial Narrow" w:eastAsia="Malgun Gothic" w:hAnsi="Arial Narrow" w:cs="Helvetica"/>
          <w:color w:val="000000"/>
          <w:sz w:val="26"/>
          <w:szCs w:val="26"/>
          <w:lang w:eastAsia="es-ES_tradnl"/>
        </w:rPr>
        <w:t xml:space="preserve">ión paisajística con ejes visuales y senderos. </w:t>
      </w:r>
    </w:p>
    <w:p w14:paraId="7194887E" w14:textId="77777777" w:rsidR="004E5994" w:rsidRDefault="008C67F0">
      <w:pPr>
        <w:jc w:val="both"/>
        <w:rPr>
          <w:rFonts w:ascii="Arial Narrow" w:eastAsia="Malgun Gothic" w:hAnsi="Arial Narrow" w:cs="Helvetica"/>
          <w:b/>
          <w:bCs/>
          <w:color w:val="000000"/>
          <w:sz w:val="26"/>
          <w:szCs w:val="26"/>
          <w:lang w:eastAsia="es-ES_tradnl"/>
        </w:rPr>
      </w:pPr>
      <w:r>
        <w:rPr>
          <w:rFonts w:ascii="Arial Narrow" w:eastAsia="Malgun Gothic" w:hAnsi="Arial Narrow" w:cs="Helvetica"/>
          <w:b/>
          <w:bCs/>
          <w:color w:val="000000"/>
          <w:sz w:val="26"/>
          <w:szCs w:val="26"/>
          <w:lang w:eastAsia="es-ES_tradnl"/>
        </w:rPr>
        <w:t>Zonas aptas y no aptas para instalaciones de energía renovables</w:t>
      </w:r>
    </w:p>
    <w:p w14:paraId="6A454F98" w14:textId="77777777" w:rsidR="004E5994" w:rsidRDefault="008C67F0">
      <w:pPr>
        <w:jc w:val="both"/>
        <w:rPr>
          <w:rFonts w:ascii="Arial Narrow" w:eastAsia="Malgun Gothic" w:hAnsi="Arial Narrow" w:cs="Helvetica"/>
          <w:color w:val="000000"/>
          <w:sz w:val="26"/>
          <w:szCs w:val="26"/>
          <w:lang w:eastAsia="es-ES_tradnl"/>
        </w:rPr>
      </w:pPr>
      <w:r>
        <w:rPr>
          <w:rFonts w:ascii="Arial Narrow" w:eastAsia="Malgun Gothic" w:hAnsi="Arial Narrow" w:cs="Helvetica"/>
          <w:color w:val="000000"/>
          <w:sz w:val="26"/>
          <w:szCs w:val="26"/>
          <w:lang w:eastAsia="es-ES_tradnl"/>
        </w:rPr>
        <w:t>Como resultado del establecimiento de estos criterios de implantación, se han identificado zonas aptas y no aptas, distinguiendo entre plantas e</w:t>
      </w:r>
      <w:r>
        <w:rPr>
          <w:rFonts w:ascii="Arial Narrow" w:eastAsia="Malgun Gothic" w:hAnsi="Arial Narrow" w:cs="Helvetica"/>
          <w:color w:val="000000"/>
          <w:sz w:val="26"/>
          <w:szCs w:val="26"/>
          <w:lang w:eastAsia="es-ES_tradnl"/>
        </w:rPr>
        <w:t xml:space="preserve">ólicas como para plantas solares. </w:t>
      </w:r>
    </w:p>
    <w:p w14:paraId="000B63F2" w14:textId="27461B20" w:rsidR="004E5994" w:rsidRDefault="008C67F0">
      <w:pPr>
        <w:jc w:val="both"/>
        <w:rPr>
          <w:rFonts w:ascii="Arial Narrow" w:hAnsi="Arial Narrow" w:cs="Arial"/>
          <w:color w:val="000000"/>
          <w:sz w:val="26"/>
          <w:szCs w:val="26"/>
        </w:rPr>
      </w:pPr>
      <w:r>
        <w:rPr>
          <w:rFonts w:ascii="Arial Narrow" w:eastAsia="Malgun Gothic" w:hAnsi="Arial Narrow" w:cs="Helvetica"/>
          <w:color w:val="000000"/>
          <w:sz w:val="26"/>
          <w:szCs w:val="26"/>
          <w:lang w:eastAsia="es-ES_tradnl"/>
        </w:rPr>
        <w:t>De esta forma, las zonas</w:t>
      </w:r>
      <w:r>
        <w:rPr>
          <w:rFonts w:ascii="Arial Narrow" w:eastAsia="Malgun Gothic" w:hAnsi="Arial Narrow" w:cs="Arial"/>
          <w:color w:val="000000"/>
          <w:sz w:val="26"/>
          <w:szCs w:val="26"/>
          <w:lang w:eastAsia="es-ES_tradnl"/>
        </w:rPr>
        <w:t xml:space="preserve"> aptas, siempre con condicionantes específicos, </w:t>
      </w:r>
      <w:r>
        <w:rPr>
          <w:rFonts w:ascii="Arial Narrow" w:eastAsia="Malgun Gothic" w:hAnsi="Arial Narrow" w:cs="Arial"/>
          <w:color w:val="000000"/>
          <w:sz w:val="26"/>
          <w:szCs w:val="26"/>
          <w:lang w:eastAsia="es-ES_tradnl"/>
        </w:rPr>
        <w:t>suponen el 19% de la superficie del término municipal</w:t>
      </w:r>
      <w:r w:rsidR="00397368">
        <w:rPr>
          <w:rFonts w:ascii="Arial Narrow" w:eastAsia="Malgun Gothic" w:hAnsi="Arial Narrow" w:cs="Arial"/>
          <w:color w:val="000000"/>
          <w:sz w:val="26"/>
          <w:szCs w:val="26"/>
          <w:lang w:eastAsia="es-ES_tradnl"/>
        </w:rPr>
        <w:t xml:space="preserve"> en el caso de la energía solar</w:t>
      </w:r>
      <w:r>
        <w:rPr>
          <w:rFonts w:ascii="Arial Narrow" w:eastAsia="Malgun Gothic" w:hAnsi="Arial Narrow" w:cs="Arial"/>
          <w:color w:val="000000"/>
          <w:sz w:val="26"/>
          <w:szCs w:val="26"/>
          <w:lang w:eastAsia="es-ES_tradnl"/>
        </w:rPr>
        <w:t xml:space="preserve">, o el 42% del suelo rústico común. </w:t>
      </w:r>
      <w:r>
        <w:rPr>
          <w:rFonts w:ascii="Arial Narrow" w:hAnsi="Arial Narrow" w:cs="Arial"/>
          <w:color w:val="000000"/>
          <w:sz w:val="26"/>
          <w:szCs w:val="26"/>
        </w:rPr>
        <w:t xml:space="preserve">Por su parte, las zonas aptas con condicionantes para instalaciones eólicas representan el 20% de la superficie del término municipal, o el 43% del suelo rústico común. </w:t>
      </w:r>
    </w:p>
    <w:p w14:paraId="5631EC5F" w14:textId="565C4E0A" w:rsidR="008C67F0" w:rsidRDefault="008C67F0">
      <w:pPr>
        <w:jc w:val="both"/>
        <w:rPr>
          <w:rFonts w:ascii="Arial Narrow" w:hAnsi="Arial Narrow" w:cs="Arial"/>
          <w:color w:val="000000"/>
          <w:sz w:val="26"/>
          <w:szCs w:val="26"/>
        </w:rPr>
      </w:pPr>
      <w:r>
        <w:rPr>
          <w:rFonts w:ascii="Arial Narrow" w:hAnsi="Arial Narrow" w:cs="Arial"/>
          <w:color w:val="000000"/>
          <w:sz w:val="26"/>
          <w:szCs w:val="26"/>
        </w:rPr>
        <w:t xml:space="preserve">Sin embargo, sobre estas superficies, se propone una ocupación máxima del 5 por ciento de la superficie de todo el suelo rústico apto común para instalaciones solares. </w:t>
      </w:r>
      <w:r>
        <w:rPr>
          <w:rFonts w:ascii="Arial Narrow" w:hAnsi="Arial Narrow" w:cs="Arial"/>
          <w:color w:val="000000"/>
          <w:sz w:val="26"/>
          <w:szCs w:val="26"/>
        </w:rPr>
        <w:t>Para las instalaciones eólicas, se propone establecer una ocupación máxima de un aerogenerador por cada Km</w:t>
      </w:r>
      <w:r>
        <w:rPr>
          <w:rFonts w:ascii="Arial Narrow" w:hAnsi="Arial Narrow" w:cs="Arial"/>
          <w:color w:val="000000"/>
          <w:sz w:val="26"/>
          <w:szCs w:val="26"/>
          <w:vertAlign w:val="superscript"/>
        </w:rPr>
        <w:t>2</w:t>
      </w:r>
      <w:r>
        <w:rPr>
          <w:rFonts w:ascii="Arial Narrow" w:hAnsi="Arial Narrow" w:cs="Arial"/>
          <w:color w:val="000000"/>
          <w:sz w:val="26"/>
          <w:szCs w:val="26"/>
        </w:rPr>
        <w:t xml:space="preserve"> de la superficie de la zona apta. Este límite basado en la capacidad de carga del territorio se alinea con las indicaciones sectoriales de las políticas supramunicipales. </w:t>
      </w:r>
    </w:p>
    <w:p w14:paraId="05847B29" w14:textId="77777777" w:rsidR="004E5994" w:rsidRDefault="004E5994">
      <w:pPr>
        <w:jc w:val="both"/>
        <w:rPr>
          <w:rFonts w:ascii="Arial Narrow" w:eastAsia="Malgun Gothic" w:hAnsi="Arial Narrow" w:cs="Helvetica"/>
          <w:color w:val="000000"/>
          <w:sz w:val="26"/>
          <w:szCs w:val="26"/>
          <w:lang w:eastAsia="es-ES_tradnl"/>
        </w:rPr>
      </w:pPr>
      <w:bookmarkStart w:id="0" w:name="_GoBack"/>
      <w:bookmarkEnd w:id="0"/>
    </w:p>
    <w:p w14:paraId="4675935C" w14:textId="77777777" w:rsidR="004E5994" w:rsidRDefault="004E5994">
      <w:pPr>
        <w:jc w:val="both"/>
        <w:rPr>
          <w:rFonts w:ascii="Arial Narrow" w:eastAsia="Malgun Gothic" w:hAnsi="Arial Narrow" w:cs="Helvetica"/>
          <w:color w:val="000000"/>
          <w:sz w:val="26"/>
          <w:szCs w:val="26"/>
          <w:lang w:eastAsia="es-ES_tradnl"/>
        </w:rPr>
      </w:pPr>
    </w:p>
    <w:p w14:paraId="27A3047E" w14:textId="77777777" w:rsidR="004E5994" w:rsidRDefault="004E5994">
      <w:pPr>
        <w:jc w:val="both"/>
        <w:rPr>
          <w:rFonts w:ascii="Arial Narrow" w:eastAsia="Malgun Gothic" w:hAnsi="Arial Narrow" w:cs="Helvetica"/>
          <w:color w:val="000000"/>
          <w:sz w:val="26"/>
          <w:szCs w:val="26"/>
          <w:lang w:eastAsia="es-ES_tradnl"/>
        </w:rPr>
      </w:pPr>
    </w:p>
    <w:p w14:paraId="33F027F9" w14:textId="77777777" w:rsidR="004E5994" w:rsidRDefault="004E5994">
      <w:pPr>
        <w:jc w:val="both"/>
        <w:rPr>
          <w:rFonts w:ascii="Arial Narrow" w:hAnsi="Arial Narrow" w:cs="Arial"/>
          <w:color w:val="000000"/>
          <w:sz w:val="26"/>
          <w:szCs w:val="26"/>
        </w:rPr>
      </w:pPr>
    </w:p>
    <w:sectPr w:rsidR="004E5994">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19543" w14:textId="77777777" w:rsidR="003B2078" w:rsidRDefault="003B2078">
      <w:pPr>
        <w:spacing w:after="0"/>
      </w:pPr>
      <w:r>
        <w:separator/>
      </w:r>
    </w:p>
  </w:endnote>
  <w:endnote w:type="continuationSeparator" w:id="0">
    <w:p w14:paraId="687E7DF5" w14:textId="77777777" w:rsidR="003B2078" w:rsidRDefault="003B2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Cambria"/>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ill Sans Std Light">
    <w:altName w:val="Gill Sans M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3726A" w14:textId="77777777" w:rsidR="004E5994" w:rsidRDefault="004E59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D6818" w14:textId="77777777" w:rsidR="004E5994" w:rsidRDefault="004E5994">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94D83" w14:textId="77777777" w:rsidR="004E5994" w:rsidRDefault="004E5994">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EED8E" w14:textId="77777777" w:rsidR="003B2078" w:rsidRDefault="003B2078">
      <w:pPr>
        <w:spacing w:after="0"/>
      </w:pPr>
      <w:r>
        <w:separator/>
      </w:r>
    </w:p>
  </w:footnote>
  <w:footnote w:type="continuationSeparator" w:id="0">
    <w:p w14:paraId="63FDB079" w14:textId="77777777" w:rsidR="003B2078" w:rsidRDefault="003B20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751A2" w14:textId="77777777" w:rsidR="004E5994" w:rsidRDefault="004E59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8E4C8" w14:textId="77777777" w:rsidR="004E5994" w:rsidRDefault="008C67F0">
    <w:pPr>
      <w:pStyle w:val="Encabezado"/>
      <w:ind w:left="-142"/>
    </w:pPr>
    <w:r>
      <w:rPr>
        <w:noProof/>
        <w:lang w:eastAsia="es-ES"/>
      </w:rPr>
      <w:drawing>
        <wp:inline distT="0" distB="0" distL="0" distR="0" wp14:anchorId="5E78F56C" wp14:editId="616C13BD">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14:paraId="48CD87C6" w14:textId="77777777" w:rsidR="004E5994" w:rsidRDefault="008C67F0">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EBB51" w14:textId="77777777" w:rsidR="004E5994" w:rsidRDefault="008C67F0">
    <w:pPr>
      <w:pStyle w:val="Encabezado"/>
      <w:ind w:left="-142"/>
    </w:pPr>
    <w:r>
      <w:rPr>
        <w:noProof/>
        <w:lang w:eastAsia="es-ES"/>
      </w:rPr>
      <w:drawing>
        <wp:inline distT="0" distB="0" distL="0" distR="0" wp14:anchorId="0A3E1BE5" wp14:editId="0BC0D8B1">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14:paraId="2895145A" w14:textId="77777777" w:rsidR="004E5994" w:rsidRDefault="008C67F0">
    <w:pPr>
      <w:pStyle w:val="Encabezado"/>
    </w:pPr>
    <w:r>
      <w:rPr>
        <w:rFonts w:cs="Cambr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220F7"/>
    <w:multiLevelType w:val="multilevel"/>
    <w:tmpl w:val="DDF213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7ED128D"/>
    <w:multiLevelType w:val="multilevel"/>
    <w:tmpl w:val="CA8035A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pStyle w:val="Ttulo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94"/>
    <w:rsid w:val="001D1EBE"/>
    <w:rsid w:val="00397368"/>
    <w:rsid w:val="003B2078"/>
    <w:rsid w:val="003E1782"/>
    <w:rsid w:val="004E5994"/>
    <w:rsid w:val="008C67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B3D0"/>
  <w15:docId w15:val="{EACBD859-5FA1-4BA1-B20A-5F390A02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117A02"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117A02" w:themeColor="accent1" w:themeShade="BF"/>
      <w:sz w:val="26"/>
      <w:szCs w:val="2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0">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Ttulo1Car">
    <w:name w:val="Título 1 Car"/>
    <w:basedOn w:val="Fuentedeprrafopredeter"/>
    <w:link w:val="Ttulo1"/>
    <w:uiPriority w:val="9"/>
    <w:qFormat/>
    <w:rsid w:val="00C82B3D"/>
    <w:rPr>
      <w:rFonts w:asciiTheme="majorHAnsi" w:eastAsiaTheme="majorEastAsia" w:hAnsiTheme="majorHAnsi" w:cstheme="majorBidi"/>
      <w:color w:val="117A02" w:themeColor="accent1" w:themeShade="BF"/>
      <w:sz w:val="32"/>
      <w:szCs w:val="32"/>
      <w:lang w:eastAsia="en-US"/>
    </w:rPr>
  </w:style>
  <w:style w:type="character" w:customStyle="1" w:styleId="Ttulo2Car">
    <w:name w:val="Título 2 Car"/>
    <w:basedOn w:val="Fuentedeprrafopredeter"/>
    <w:link w:val="Ttulo2"/>
    <w:uiPriority w:val="9"/>
    <w:qFormat/>
    <w:rsid w:val="00C82B3D"/>
    <w:rPr>
      <w:rFonts w:asciiTheme="majorHAnsi" w:eastAsiaTheme="majorEastAsia" w:hAnsiTheme="majorHAnsi" w:cstheme="majorBidi"/>
      <w:color w:val="117A02" w:themeColor="accent1" w:themeShade="BF"/>
      <w:sz w:val="26"/>
      <w:szCs w:val="26"/>
      <w:lang w:eastAsia="en-US"/>
    </w:rPr>
  </w:style>
  <w:style w:type="character" w:customStyle="1" w:styleId="Fuentedeprrafopredeter18">
    <w:name w:val="Fuente de párrafo predeter.18"/>
    <w:qFormat/>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styleId="nfasis">
    <w:name w:val="Emphasis"/>
    <w:qFormat/>
    <w:rPr>
      <w:i/>
      <w:iCs/>
    </w:rPr>
  </w:style>
  <w:style w:type="character" w:styleId="Hipervnculovisitado">
    <w:name w:val="FollowedHyperlink"/>
    <w:rPr>
      <w:color w:val="800080"/>
      <w:u w:val="single"/>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0">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Contenidodelmarco">
    <w:name w:val="Contenido del marco"/>
    <w:basedOn w:val="Normal"/>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customStyle="1" w:styleId="Textopreformateado">
    <w:name w:val="Texto preformateado"/>
    <w:basedOn w:val="Normal"/>
    <w:qFormat/>
    <w:rPr>
      <w:rFonts w:ascii="Liberation Mono" w:eastAsia="NSimSun" w:hAnsi="Liberation Mono" w:cs="Liberation Mono"/>
      <w:sz w:val="20"/>
    </w:rPr>
  </w:style>
  <w:style w:type="paragraph" w:styleId="Sangradetextonormal">
    <w:name w:val="Body Text Indent"/>
    <w:basedOn w:val="Normal"/>
    <w:pPr>
      <w:ind w:left="540"/>
    </w:pPr>
    <w:rPr>
      <w:rFonts w:ascii="Arial" w:hAnsi="Arial" w:cs="Arial"/>
      <w:b/>
      <w:bCs/>
      <w:sz w:val="40"/>
      <w:lang w:val="en-U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numbering" w:customStyle="1" w:styleId="Ningunalista">
    <w:name w:val="Ninguna lista"/>
    <w:qFormat/>
  </w:style>
  <w:style w:type="numbering" w:customStyle="1" w:styleId="WW8Num1">
    <w:name w:val="WW8Num1"/>
    <w:qFormat/>
  </w:style>
  <w:style w:type="numbering" w:customStyle="1" w:styleId="WW8Num2">
    <w:name w:val="WW8Num2"/>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1066</Words>
  <Characters>5868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cp:revision>
  <cp:lastPrinted>2025-06-04T09:20:00Z</cp:lastPrinted>
  <dcterms:created xsi:type="dcterms:W3CDTF">2025-06-11T07:46:00Z</dcterms:created>
  <dcterms:modified xsi:type="dcterms:W3CDTF">2025-06-11T08:20:00Z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