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rPr>
          <w:lang w:val="es-ES"/>
        </w:rPr>
      </w:pPr>
      <w:r>
        <w:rPr>
          <w:lang w:val="es-ES"/>
        </w:rPr>
      </w:r>
    </w:p>
    <w:p>
      <w:pPr>
        <w:pStyle w:val="Normal"/>
        <w:spacing w:before="0" w:after="0"/>
        <w:jc w:val="left"/>
        <w:rPr/>
      </w:pPr>
      <w:r>
        <w:rPr>
          <w:rFonts w:ascii="Arial Narrow" w:hAnsi="Arial Narrow"/>
          <w:b/>
          <w:bCs/>
          <w:sz w:val="40"/>
          <w:szCs w:val="40"/>
          <w:lang w:val="es-ES"/>
        </w:rPr>
        <w:t>La alcaldesa reitera su compromiso con la visibilización de la ELA y las demandas de las personas diagnosticadas con esta enfermedad</w:t>
      </w:r>
    </w:p>
    <w:p>
      <w:pPr>
        <w:pStyle w:val="Normal"/>
        <w:spacing w:before="0" w:after="0"/>
        <w:jc w:val="left"/>
        <w:rPr>
          <w:rFonts w:ascii="Arial Narrow" w:hAnsi="Arial Narrow"/>
          <w:b/>
          <w:b/>
          <w:bCs/>
          <w:sz w:val="40"/>
          <w:szCs w:val="40"/>
          <w:lang w:val="es-ES"/>
        </w:rPr>
      </w:pPr>
      <w:r>
        <w:rPr/>
      </w:r>
    </w:p>
    <w:p>
      <w:pPr>
        <w:pStyle w:val="Normal"/>
        <w:spacing w:before="0" w:after="0"/>
        <w:jc w:val="left"/>
        <w:rPr/>
      </w:pPr>
      <w:r>
        <w:rPr>
          <w:rFonts w:ascii="Arial Narrow" w:hAnsi="Arial Narrow"/>
          <w:b w:val="false"/>
          <w:bCs w:val="false"/>
          <w:sz w:val="36"/>
          <w:szCs w:val="36"/>
          <w:lang w:val="es-ES"/>
        </w:rPr>
        <w:t>El</w:t>
      </w:r>
      <w:r>
        <w:rPr>
          <w:rFonts w:ascii="Arial Narrow" w:hAnsi="Arial Narrow"/>
          <w:b w:val="false"/>
          <w:bCs w:val="false"/>
          <w:sz w:val="36"/>
          <w:szCs w:val="36"/>
          <w:lang w:val="es-ES"/>
        </w:rPr>
        <w:t xml:space="preserve"> musical promovido por el jerezano Juan Carlos Garnés, para colaborar con la investigación, </w:t>
      </w:r>
      <w:r>
        <w:rPr>
          <w:rFonts w:ascii="Arial Narrow" w:hAnsi="Arial Narrow"/>
          <w:b w:val="false"/>
          <w:bCs w:val="false"/>
          <w:sz w:val="36"/>
          <w:szCs w:val="36"/>
          <w:lang w:val="es-ES"/>
        </w:rPr>
        <w:t>fue presentado en los Museos de La Atalaya</w:t>
      </w:r>
    </w:p>
    <w:p>
      <w:pPr>
        <w:pStyle w:val="Normal"/>
        <w:spacing w:before="0" w:after="0"/>
        <w:jc w:val="left"/>
        <w:rPr>
          <w:rFonts w:ascii="Arial Narrow" w:hAnsi="Arial Narrow"/>
          <w:b w:val="false"/>
          <w:b w:val="false"/>
          <w:bCs w:val="false"/>
          <w:sz w:val="36"/>
          <w:szCs w:val="36"/>
          <w:lang w:val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/>
          <w:bCs/>
          <w:sz w:val="26"/>
          <w:szCs w:val="26"/>
          <w:lang w:val="es-ES"/>
        </w:rPr>
        <w:t>2</w:t>
      </w:r>
      <w:r>
        <w:rPr>
          <w:rFonts w:ascii="Arial Narrow" w:hAnsi="Arial Narrow"/>
          <w:b/>
          <w:bCs/>
          <w:sz w:val="26"/>
          <w:szCs w:val="26"/>
          <w:lang w:val="es-ES"/>
        </w:rPr>
        <w:t>2</w:t>
      </w:r>
      <w:r>
        <w:rPr>
          <w:rFonts w:ascii="Arial Narrow" w:hAnsi="Arial Narrow"/>
          <w:b/>
          <w:bCs/>
          <w:sz w:val="26"/>
          <w:szCs w:val="26"/>
          <w:lang w:val="es-ES"/>
        </w:rPr>
        <w:t xml:space="preserve"> de junio de 2025.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La alcaldesa, María José García-Pelayo, junto a miembros del Gobierno de Jerez,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asistió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a la presentación de ‘ELA El Musical’, un espectáculo promovido por el jerezano Juan Carlos Garnés, para recaudar fondos destin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a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dos a la investigación de la ELA, y visibilizar una enfermedad aún muy desconocida, dando voz a las demandas de las personas diagnosticadas con esta dolencia.</w:t>
      </w:r>
    </w:p>
    <w:p>
      <w:pPr>
        <w:pStyle w:val="Normal"/>
        <w:spacing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En este acto, la regidora ha reiterado su compromiso con la difusión y promoción de todas las actividades destinadas a lograr fondos para respaldar la investigación que permita mejorar la calidad de vida de las personas enfermas de ELA, poniendo en valor el coraje y la iniciativa de Juan Carlos Garnés para hacer posible que se conozca y no quede en el olvido una enfermedad tan dura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que el mismo s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ufre.</w:t>
      </w:r>
    </w:p>
    <w:p>
      <w:pPr>
        <w:pStyle w:val="Normal"/>
        <w:spacing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La alcaldesa recib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ió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a este jerezano en el mes de octubre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del pasado año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, en  un encuentro en el que estuvo presente la delegada de Inclusión Social, Yessika Quintero, y en el que ofrecieron toda la colaboración municipal para un espectáculo que por fin se ha hecho realidad, gracias a la colaboración de empresas, entidades, familia y todo el apoyo que se ha recabado en la ciudad desde la organización del evento.</w:t>
      </w:r>
    </w:p>
    <w:p>
      <w:pPr>
        <w:pStyle w:val="Normal"/>
        <w:spacing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‘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ELA El Musical’ es una obra cultura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l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con letra y música original, cuya puesta en escena suma teatro, ballet, orquesta, música coral, en la que han participado </w:t>
      </w: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 xml:space="preserve">academias, conservatorios, empresas, compañías y demás profesionales de Jerez, que han querido colaborar de forma altruista con la puesta en marcha del proyecto. </w:t>
      </w: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>Esta iniciativa será estrenada el 11 de octubre de este año, en el Teatro Villamarta.</w:t>
      </w:r>
    </w:p>
    <w:p>
      <w:pPr>
        <w:pStyle w:val="Normal"/>
        <w:spacing w:before="0" w:after="0"/>
        <w:jc w:val="both"/>
        <w:rPr>
          <w:rFonts w:ascii="Arial Narrow" w:hAnsi="Arial Narrow" w:cs="Calibri"/>
          <w:b w:val="false"/>
          <w:b w:val="false"/>
          <w:bCs/>
          <w:sz w:val="26"/>
          <w:szCs w:val="26"/>
          <w:lang w:val="es-ES_tradn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 xml:space="preserve">Este musical representa la vida de un enfermo de ELA desde el momento del diagnóstico. La historia recorre todas y cada una de las etapas </w:t>
      </w: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 xml:space="preserve">por las </w:t>
      </w: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>que el enfermo y sus seres queridos transitan. Desde el punto de vista artístico, el desarrollo y la evolución de la enfermedad se aborda con todos aquellos personajes que rodean al protagonista, representados a través de diferentes números musicales, haciéndonos partícipes de la visión de la familia, amistades, personal médico, cuidadores y profesionales de la investigación.</w:t>
      </w:r>
    </w:p>
    <w:p>
      <w:pPr>
        <w:pStyle w:val="Normal"/>
        <w:spacing w:before="0" w:after="0"/>
        <w:jc w:val="both"/>
        <w:rPr>
          <w:rFonts w:ascii="Arial Narrow" w:hAnsi="Arial Narrow" w:cs="Calibri"/>
          <w:b w:val="false"/>
          <w:b w:val="false"/>
          <w:bCs/>
          <w:sz w:val="26"/>
          <w:szCs w:val="26"/>
          <w:lang w:val="es-ES_tradn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Calibri" w:ascii="Arial Narrow" w:hAnsi="Arial Narrow"/>
          <w:b w:val="false"/>
          <w:bCs/>
          <w:sz w:val="26"/>
          <w:szCs w:val="26"/>
          <w:lang w:val="es-ES_tradnl"/>
        </w:rPr>
        <w:t xml:space="preserve">El 21 de junio se conmemora el día mundial de la Esclerosis Lateral Amiotrófica (ELA) con la finalidad de visibilizar la afección, demandar más investigaciones sobre sus causas y por tratamientos que mejoren la calidad de vida de los pacientes.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2">
    <w:name w:val="caption12"/>
    <w:basedOn w:val="Normal"/>
    <w:qFormat/>
    <w:pPr>
      <w:spacing w:before="120" w:after="120"/>
    </w:pPr>
    <w:rPr>
      <w:i/>
      <w:iCs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LibreOffice/7.3.6.2$Windows_X86_64 LibreOffice_project/c28ca90fd6e1a19e189fc16c05f8f8924961e12e</Application>
  <AppVersion>15.0000</AppVersion>
  <Pages>2</Pages>
  <Words>440</Words>
  <Characters>2248</Characters>
  <CharactersWithSpaces>2683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Vega Soto</dc:creator>
  <dc:description/>
  <dc:language>es-ES</dc:language>
  <cp:lastModifiedBy/>
  <dcterms:modified xsi:type="dcterms:W3CDTF">2025-06-22T10:38:49Z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