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pPr>
      <w:r>
        <w:rPr>
          <w:rFonts w:eastAsia="Arial Narrow" w:cs="Arial Narrow" w:ascii="Arial Narrow" w:hAnsi="Arial Narrow"/>
          <w:b/>
          <w:color w:val="000000"/>
          <w:sz w:val="40"/>
          <w:szCs w:val="40"/>
        </w:rPr>
        <w:t xml:space="preserve">El Ayuntamiento refuerza su colaboración con las empresas de la construcción de Cádiz para impulsar la promoción de vivienda protegida en Jerez </w:t>
      </w:r>
    </w:p>
    <w:p>
      <w:pPr>
        <w:pStyle w:val="Normal1"/>
        <w:rPr>
          <w:rFonts w:ascii="Arial Narrow" w:hAnsi="Arial Narrow" w:eastAsia="Arial Narrow" w:cs="Arial Narrow"/>
          <w:b w:val="false"/>
          <w:b w:val="false"/>
          <w:color w:val="000000"/>
          <w:sz w:val="32"/>
          <w:szCs w:val="32"/>
        </w:rPr>
      </w:pPr>
      <w:r>
        <w:rPr>
          <w:rFonts w:eastAsia="Arial Narrow" w:cs="Arial Narrow" w:ascii="Arial Narrow" w:hAnsi="Arial Narrow"/>
          <w:b w:val="false"/>
          <w:color w:val="000000"/>
          <w:sz w:val="32"/>
          <w:szCs w:val="32"/>
        </w:rPr>
        <w:t>La alcaldesa y la FAEC coinciden en la necesidad de intensificar la cooperación público-privada para facilitar la aplicación de las medidas del  Decreto-Ley 1/2025, al que se ha acogido el Ayuntamiento de Jerez para favorecer la construcción de viviendas asequibles en la ciudad</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b/>
          <w:sz w:val="26"/>
          <w:szCs w:val="26"/>
        </w:rPr>
        <w:t>23 de junio de 2025</w:t>
      </w:r>
      <w:r>
        <w:rPr>
          <w:rFonts w:eastAsia="Arial Narrow" w:cs="Arial Narrow" w:ascii="Arial Narrow" w:hAnsi="Arial Narrow"/>
          <w:sz w:val="26"/>
          <w:szCs w:val="26"/>
        </w:rPr>
        <w:t>. La alcaldesa de Jerez, María José García-Pelayo, junto al teniente de alcaldesa de Turismo, Antonio Real, y la delegada de Urbanismo y Vivienda, Belén de la Cuadra, han recibido hoy a miembros de la directiva de la Federación de Empresarios de la Construcción de Cádiz, FAEC, para abordar t</w:t>
      </w:r>
      <w:r>
        <w:rPr>
          <w:rFonts w:eastAsia="Arial Narrow" w:cs="Arial Narrow" w:ascii="Arial Narrow" w:hAnsi="Arial Narrow"/>
          <w:b w:val="false"/>
          <w:sz w:val="26"/>
          <w:szCs w:val="26"/>
          <w:u w:val="none"/>
        </w:rPr>
        <w:t xml:space="preserve">emas de interés para este sector y que son de competencia municipal, y poner sobre la mesa propuestas de acción conjuntas </w:t>
      </w:r>
      <w:r>
        <w:rPr>
          <w:rFonts w:eastAsia="Arial Narrow" w:cs="Arial Narrow" w:ascii="Arial Narrow" w:hAnsi="Arial Narrow"/>
          <w:b w:val="false"/>
          <w:color w:val="000000"/>
          <w:sz w:val="26"/>
          <w:szCs w:val="26"/>
          <w:u w:val="none"/>
        </w:rPr>
        <w:t xml:space="preserve">para promover la construcción de vivienda en la ciudad, en el marco del convenio suscrito con esta Federación, en enero de 2024. </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b w:val="false"/>
          <w:color w:val="000000"/>
          <w:sz w:val="26"/>
          <w:szCs w:val="26"/>
          <w:u w:val="none"/>
        </w:rPr>
        <w:t>En la reunión han estado presentes Jorge Fernández-Portillo, secretario general de FAEC; José Castellano, presidente de APECOP (la Asociación de Constructores integrada en FAEC), Fernando García Romero, vicepresidente de ASPRICA</w:t>
      </w:r>
      <w:r>
        <w:rPr>
          <w:rFonts w:eastAsia="Arial Narrow" w:cs="Arial Narrow" w:ascii="Arial Narrow" w:hAnsi="Arial Narrow"/>
          <w:color w:val="000000"/>
          <w:sz w:val="26"/>
          <w:szCs w:val="26"/>
        </w:rPr>
        <w:t xml:space="preserve"> </w:t>
      </w:r>
      <w:r>
        <w:rPr>
          <w:rFonts w:eastAsia="Arial Narrow" w:cs="Arial Narrow" w:ascii="Arial Narrow" w:hAnsi="Arial Narrow"/>
          <w:b w:val="false"/>
          <w:color w:val="000000"/>
          <w:sz w:val="26"/>
          <w:szCs w:val="26"/>
          <w:u w:val="none"/>
        </w:rPr>
        <w:t>(el colectivo de Promotores Inmobiliarios de FAEC); Álvaro Osborne, vocal de APECOP, y Javier Álvarez-</w:t>
      </w:r>
      <w:r>
        <w:rPr>
          <w:rFonts w:eastAsia="Arial Narrow" w:cs="Arial Narrow" w:ascii="Arial Narrow" w:hAnsi="Arial Narrow"/>
          <w:color w:val="000000"/>
          <w:sz w:val="26"/>
          <w:szCs w:val="26"/>
        </w:rPr>
        <w:t>Oss</w:t>
      </w:r>
      <w:r>
        <w:rPr>
          <w:rFonts w:eastAsia="Arial Narrow" w:cs="Arial Narrow" w:ascii="Arial Narrow" w:hAnsi="Arial Narrow"/>
          <w:b w:val="false"/>
          <w:color w:val="000000"/>
          <w:sz w:val="26"/>
          <w:szCs w:val="26"/>
          <w:u w:val="none"/>
        </w:rPr>
        <w:t xml:space="preserve">orio, asesor jurídico de FAEC. </w:t>
      </w:r>
    </w:p>
    <w:p>
      <w:pPr>
        <w:pStyle w:val="Normal1"/>
        <w:spacing w:lineRule="auto" w:line="240" w:before="0" w:after="200"/>
        <w:jc w:val="both"/>
        <w:rPr>
          <w:rFonts w:ascii="Arial Narrow" w:hAnsi="Arial Narrow" w:eastAsia="Arial Narrow" w:cs="Arial Narrow"/>
          <w:b w:val="false"/>
          <w:b w:val="false"/>
          <w:sz w:val="26"/>
          <w:szCs w:val="26"/>
        </w:rPr>
      </w:pPr>
      <w:r>
        <w:rPr>
          <w:rFonts w:eastAsia="Arial Narrow" w:cs="Arial Narrow" w:ascii="Arial Narrow" w:hAnsi="Arial Narrow"/>
          <w:b w:val="false"/>
          <w:color w:val="000000"/>
          <w:sz w:val="26"/>
          <w:szCs w:val="26"/>
        </w:rPr>
        <w:t xml:space="preserve">Al comienzo del encuentro, la alcaldesa ha agradecido a los presentes el papel clave que este sector representa en Jerez y en la provincia para dinamizar la actividad económica y el empleo, y su apuesta por mejorar las políticas de vivienda e ir de la mano de las administraciones en la puesta en marcha de actuaciones y estrategias de colaboración público-privadas. </w:t>
      </w:r>
    </w:p>
    <w:p>
      <w:pPr>
        <w:pStyle w:val="Normal1"/>
        <w:spacing w:lineRule="auto" w:line="240" w:before="0" w:after="200"/>
        <w:jc w:val="both"/>
        <w:rPr>
          <w:rFonts w:ascii="Arial Narrow" w:hAnsi="Arial Narrow" w:eastAsia="Arial Narrow" w:cs="Arial Narrow"/>
          <w:b w:val="false"/>
          <w:b w:val="false"/>
          <w:sz w:val="26"/>
          <w:szCs w:val="26"/>
        </w:rPr>
      </w:pPr>
      <w:r>
        <w:rPr>
          <w:rFonts w:eastAsia="Arial Narrow" w:cs="Arial Narrow" w:ascii="Arial Narrow" w:hAnsi="Arial Narrow"/>
          <w:b w:val="false"/>
          <w:color w:val="000000"/>
          <w:sz w:val="26"/>
          <w:szCs w:val="26"/>
        </w:rPr>
        <w:t xml:space="preserve">Entre los asuntos abordados, la alcaldesa ha dado detalles de la reciente adhesión del Ayuntamiento de Jerez al Decreto-Ley 1/2025 de la Junta de Andalucía destinado a favorecer y agilizar la promoción de viviendas protegidas, y que fue aprobada por unanimidad en el Pleno del pasado mes de mayo. </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b w:val="false"/>
          <w:color w:val="000000"/>
          <w:sz w:val="26"/>
          <w:szCs w:val="26"/>
        </w:rPr>
        <w:t xml:space="preserve">Tal y como ha explicado la alcaldesa, con la adopción de varias de las medidas incluidas en esta normativa “queremos incentivar la construcción de viviendas protegidas en la ciudad e incrementar la oferta de suelo disponible para este fin”. Así pues, la adhesión de Jerez a este Decreto “demanda aún más la colaboración entre las empresas del sector y el Ayuntamiento al objeto de abordar de forma conjunta el problema de la falta de vivienda, y, de manera especial, impulsar el mercado de vivienda protegida en la ciudad”. </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b w:val="false"/>
          <w:color w:val="000000"/>
          <w:sz w:val="26"/>
          <w:szCs w:val="26"/>
        </w:rPr>
        <w:t xml:space="preserve">Cabe recordar que mediante este acuerdo de Pleno se autoriza un incremento de un 20% el número de viviendas permitidas en una parcela de vivienda de renta libre, siempre que ésta se destine en su totalidad a vivienda que tenga algún régimen de protección. Igualmente, en el caso de parcelas destinadas en origen a vivienda protegida, el número de viviendas se puede incrementar igualmente en un 20% y su edificabilidad en un 10%; y en tercer lugar, se posibilita el cambio de uso a residencial de vivienda protegida en aquellas parcelas o edificios destinados a oficinas o alojamiento turístico. </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sz w:val="26"/>
          <w:szCs w:val="26"/>
        </w:rPr>
        <w:t>Sobre este mismo asunto, se les ha informado de primera mano de las distintas parcelas de suelo para viviendas que hay disponibles</w:t>
      </w:r>
      <w:r>
        <w:rPr>
          <w:rFonts w:eastAsia="Arial Narrow" w:cs="Arial Narrow" w:ascii="Arial Narrow" w:hAnsi="Arial Narrow"/>
          <w:color w:val="000000"/>
          <w:sz w:val="26"/>
          <w:szCs w:val="26"/>
        </w:rPr>
        <w:t xml:space="preserve"> en todo el término municipal de Jerez para construir viviendas asequibles, y que se puede consultar en la web municipal a través de un mapa interactivo. </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color w:val="000000"/>
          <w:sz w:val="26"/>
          <w:szCs w:val="26"/>
        </w:rPr>
        <w:t xml:space="preserve">Otro de los temas que ha planteado desde esta organización ha sido el posicionamiento de la provincia de Cádiz como principal destino turístico residencial, para lo cual, se está ejecutando un Plan de Acción del Proyecto Turismo Residencial Cádiz 2025, que tiene, entre sus principales objetivos, el de potenciar distintos destinos asequibles de sol y playa, con Jerez como claro ejemplo. </w:t>
      </w:r>
    </w:p>
    <w:p>
      <w:pPr>
        <w:pStyle w:val="Normal1"/>
        <w:spacing w:lineRule="auto" w:line="240" w:before="0" w:after="200"/>
        <w:jc w:val="both"/>
        <w:rPr>
          <w:rFonts w:ascii="Arial Narrow" w:hAnsi="Arial Narrow" w:eastAsia="Arial Narrow" w:cs="Arial Narrow"/>
          <w:sz w:val="26"/>
          <w:szCs w:val="26"/>
        </w:rPr>
      </w:pPr>
      <w:r>
        <w:rPr>
          <w:rFonts w:eastAsia="Arial Narrow" w:cs="Arial Narrow" w:ascii="Arial Narrow" w:hAnsi="Arial Narrow"/>
          <w:color w:val="000000"/>
          <w:sz w:val="26"/>
          <w:szCs w:val="26"/>
        </w:rPr>
        <w:t xml:space="preserve">Durante el encuentro se ha abordado también la próxima edición de Expoconstruye, que tendrá lugar nuevamente en IFECA, los días 15 y 16 de octubre de 2025, con el objetivo de seguir siendo un referente como principal Feria Profesional de la Construcción en Andalucía. En relación a este evento, la alcaldesa les ha ofrecido toda la colaboración institucional para que esta V Feria sea todo un éxito y reúna a un mayor número de expositores, y siga consolidándose como uno de los mayores escaparates del sector en Andalucía y en el resto del país. </w:t>
      </w:r>
    </w:p>
    <w:p>
      <w:pPr>
        <w:pStyle w:val="Normal1"/>
        <w:widowControl w:val="false"/>
        <w:spacing w:lineRule="auto" w:line="240" w:before="0" w:after="0"/>
        <w:ind w:right="-454" w:hanging="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(Se adjunta fotografía)</w:t>
      </w:r>
    </w:p>
    <w:p>
      <w:pPr>
        <w:pStyle w:val="Normal1"/>
        <w:widowControl w:val="false"/>
        <w:spacing w:lineRule="auto" w:line="240" w:before="0" w:after="0"/>
        <w:ind w:right="-454" w:hanging="0"/>
        <w:jc w:val="both"/>
        <w:rPr>
          <w:color w:val="000000"/>
        </w:rPr>
      </w:pPr>
      <w:r>
        <w:rPr>
          <w:color w:val="000000"/>
        </w:rPr>
      </w:r>
    </w:p>
    <w:p>
      <w:pPr>
        <w:pStyle w:val="Normal1"/>
        <w:widowControl w:val="false"/>
        <w:spacing w:lineRule="auto" w:line="240" w:before="0" w:after="0"/>
        <w:ind w:right="-454" w:hanging="0"/>
        <w:jc w:val="both"/>
        <w:rPr>
          <w:color w:val="000000"/>
        </w:rPr>
      </w:pPr>
      <w:r>
        <w:rPr>
          <w:color w:val="000000"/>
        </w:rPr>
      </w:r>
    </w:p>
    <w:p>
      <w:pPr>
        <w:pStyle w:val="Normal1"/>
        <w:spacing w:lineRule="auto" w:line="240" w:before="0" w:after="200"/>
        <w:jc w:val="both"/>
        <w:rPr>
          <w:rFonts w:ascii="Calibri" w:hAnsi="Calibri" w:eastAsia="Calibri" w:cs="Calibri"/>
        </w:rPr>
      </w:pPr>
      <w:r>
        <w:rPr>
          <w:rFonts w:eastAsia="Calibri" w:cs="Calibri" w:ascii="Calibri" w:hAnsi="Calibri"/>
        </w:rPr>
      </w:r>
    </w:p>
    <w:p>
      <w:pPr>
        <w:pStyle w:val="Normal1"/>
        <w:keepNext w:val="false"/>
        <w:keepLines w:val="false"/>
        <w:pageBreakBefore w:val="false"/>
        <w:widowControl/>
        <w:shd w:val="clear" w:fill="auto"/>
        <w:spacing w:lineRule="auto" w:line="264" w:before="0" w:after="14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A"/>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64" w:before="0" w:after="14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4"/>
          <w:sz w:val="24"/>
          <w:szCs w:val="24"/>
          <w:u w:val="none"/>
          <w:shd w:fill="auto" w:val="clear"/>
          <w:vertAlign w:val="baseline"/>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w:charset w:val="00"/>
    <w:family w:val="swiss"/>
    <w:pitch w:val="variable"/>
  </w:font>
  <w:font w:name="Liberation Serif">
    <w:altName w:val="Times New Roman"/>
    <w:charset w:val="00"/>
    <w:family w:val="swiss"/>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 w:name="Calibri">
    <w:charset w:val="00"/>
    <w:family w:val="roman"/>
    <w:pitch w:val="variable"/>
  </w:font>
  <w:font w:name="Gill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252" w:leader="none"/>
        <w:tab w:val="right" w:pos="8504" w:leader="none"/>
      </w:tabs>
      <w:spacing w:lineRule="auto" w:line="218" w:before="0" w:after="0"/>
      <w:ind w:left="0" w:right="0" w:hanging="0"/>
      <w:jc w:val="left"/>
      <w:rPr>
        <w:rFonts w:ascii="Gill Sans" w:hAnsi="Gill Sans" w:eastAsia="Gill Sans" w:cs="Gill Sans"/>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Gill Sans" w:cs="Gill Sans" w:ascii="Gill Sans" w:hAnsi="Gill Sans"/>
        <w:b w:val="false"/>
        <w:i w:val="false"/>
        <w:caps w:val="false"/>
        <w:smallCaps w:val="false"/>
        <w:strike w:val="false"/>
        <w:dstrike w:val="false"/>
        <w:color w:val="00000A"/>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252" w:leader="none"/>
        <w:tab w:val="right" w:pos="8504" w:leader="none"/>
      </w:tabs>
      <w:spacing w:lineRule="auto" w:line="240" w:before="0" w:after="0"/>
      <w:ind w:left="-142"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auto" w:val="clear"/>
        <w:vertAlign w:val="baseline"/>
      </w:rPr>
    </w:pPr>
    <w:r>
      <w:rPr/>
      <w:drawing>
        <wp:inline distT="0" distB="0" distL="0" distR="0">
          <wp:extent cx="6481445" cy="1080135"/>
          <wp:effectExtent l="0" t="0" r="0" b="0"/>
          <wp:docPr id="1" name="image1.png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Copia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Normal1"/>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A"/>
        <w:position w:val="0"/>
        <w:sz w:val="24"/>
        <w:sz w:val="24"/>
        <w:szCs w:val="24"/>
        <w:u w:val="none"/>
        <w:shd w:fill="auto" w:val="clear"/>
        <w:vertAlign w:val="baseline"/>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252" w:leader="none"/>
        <w:tab w:val="right" w:pos="8504" w:leader="none"/>
      </w:tabs>
      <w:spacing w:lineRule="auto" w:line="240" w:before="0" w:after="0"/>
      <w:ind w:left="-142"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auto" w:val="clear"/>
        <w:vertAlign w:val="baseline"/>
      </w:rPr>
    </w:pPr>
    <w:r>
      <w:rPr/>
      <w:drawing>
        <wp:inline distT="0" distB="0" distL="0" distR="0">
          <wp:extent cx="6481445" cy="108013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Normal1"/>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A"/>
        <w:position w:val="0"/>
        <w:sz w:val="24"/>
        <w:sz w:val="24"/>
        <w:szCs w:val="24"/>
        <w:u w:val="none"/>
        <w:shd w:fill="auto" w:val="clear"/>
        <w:vertAlign w:val="baseline"/>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252" w:leader="none"/>
        <w:tab w:val="right" w:pos="8504" w:leader="none"/>
      </w:tabs>
      <w:spacing w:lineRule="auto" w:line="240" w:before="0" w:after="0"/>
      <w:ind w:left="-142"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auto" w:val="clear"/>
        <w:vertAlign w:val="baseline"/>
      </w:rPr>
    </w:pPr>
    <w:r>
      <w:rPr/>
      <w:drawing>
        <wp:inline distT="0" distB="0" distL="0" distR="0">
          <wp:extent cx="6481445" cy="108013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Normal1"/>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Cambria" w:cs="Cambria"/>
        <w:b w:val="false"/>
        <w:i w:val="false"/>
        <w:caps w:val="false"/>
        <w:smallCaps w:val="false"/>
        <w:strike w:val="false"/>
        <w:dstrike w:val="false"/>
        <w:color w:val="00000A"/>
        <w:position w:val="0"/>
        <w:sz w:val="24"/>
        <w:sz w:val="24"/>
        <w:szCs w:val="24"/>
        <w:u w:val="none"/>
        <w:shd w:fill="auto" w:val="clear"/>
        <w:vertAlign w:val="baseline"/>
      </w:rPr>
      <w:t xml:space="preserve"> </w:t>
    </w:r>
  </w:p>
</w:hdr>
</file>

<file path=word/settings.xml><?xml version="1.0" encoding="utf-8"?>
<w:settings xmlns:w="http://schemas.openxmlformats.org/wordprocessingml/2006/main">
  <w:zoom w:percent="16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color w:val="00000A"/>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200"/>
      <w:jc w:val="left"/>
    </w:pPr>
    <w:rPr>
      <w:rFonts w:ascii="Cambria" w:hAnsi="Cambria" w:eastAsia="Cambria" w:cs="Cambria"/>
      <w:color w:val="00000A"/>
      <w:kern w:val="0"/>
      <w:sz w:val="24"/>
      <w:szCs w:val="24"/>
      <w:lang w:val="es-ES" w:eastAsia="zh-CN" w:bidi="hi-IN"/>
    </w:rPr>
  </w:style>
  <w:style w:type="paragraph" w:styleId="Ttulo1">
    <w:name w:val="Heading 1"/>
    <w:basedOn w:val="Normal1"/>
    <w:next w:val="Normal1"/>
    <w:qFormat/>
    <w:pPr>
      <w:keepNext w:val="true"/>
      <w:keepLines/>
      <w:spacing w:lineRule="auto" w:line="240" w:before="240" w:after="0"/>
    </w:pPr>
    <w:rPr>
      <w:rFonts w:ascii="Arial" w:hAnsi="Arial" w:eastAsia="Arial" w:cs="Arial"/>
      <w:color w:val="117A02"/>
      <w:sz w:val="32"/>
      <w:szCs w:val="32"/>
    </w:rPr>
  </w:style>
  <w:style w:type="paragraph" w:styleId="Ttulo2">
    <w:name w:val="Heading 2"/>
    <w:basedOn w:val="Normal1"/>
    <w:next w:val="Normal1"/>
    <w:qFormat/>
    <w:pPr>
      <w:keepNext w:val="true"/>
      <w:keepLines/>
      <w:spacing w:lineRule="auto" w:line="240" w:before="40" w:after="0"/>
    </w:pPr>
    <w:rPr>
      <w:rFonts w:ascii="Arial" w:hAnsi="Arial" w:eastAsia="Arial" w:cs="Arial"/>
      <w:color w:val="117A02"/>
      <w:sz w:val="26"/>
      <w:szCs w:val="26"/>
    </w:rPr>
  </w:style>
  <w:style w:type="paragraph" w:styleId="Ttulo3">
    <w:name w:val="Heading 3"/>
    <w:basedOn w:val="Normal1"/>
    <w:next w:val="Normal1"/>
    <w:qFormat/>
    <w:pPr>
      <w:spacing w:lineRule="auto" w:line="240" w:before="280" w:after="280"/>
      <w:ind w:left="0" w:hanging="0"/>
    </w:pPr>
    <w:rPr>
      <w:rFonts w:ascii="Times New Roman" w:hAnsi="Times New Roman" w:eastAsia="Times New Roman" w:cs="Times New Roman"/>
      <w:b/>
      <w:sz w:val="27"/>
      <w:szCs w:val="27"/>
    </w:rPr>
  </w:style>
  <w:style w:type="paragraph" w:styleId="Ttulo4">
    <w:name w:val="Heading 4"/>
    <w:basedOn w:val="Normal1"/>
    <w:next w:val="Normal1"/>
    <w:qFormat/>
    <w:pPr>
      <w:keepNext w:val="true"/>
      <w:spacing w:lineRule="auto" w:line="240" w:before="240" w:after="60"/>
      <w:ind w:left="0" w:hanging="0"/>
    </w:pPr>
    <w:rPr>
      <w:rFonts w:ascii="Calibri" w:hAnsi="Calibri" w:eastAsia="Calibri" w:cs="Calibri"/>
      <w:b/>
      <w:sz w:val="28"/>
      <w:szCs w:val="28"/>
    </w:rPr>
  </w:style>
  <w:style w:type="paragraph" w:styleId="Ttulo5">
    <w:name w:val="Heading 5"/>
    <w:basedOn w:val="Normal1"/>
    <w:next w:val="Normal1"/>
    <w:qFormat/>
    <w:pPr>
      <w:keepNext w:val="false"/>
      <w:keepLines w:val="false"/>
      <w:pageBreakBefore w:val="false"/>
      <w:widowControl w:val="false"/>
      <w:shd w:val="clear" w:fill="auto"/>
      <w:spacing w:lineRule="auto" w:line="240" w:before="120" w:after="6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40" w:before="0" w:after="200"/>
      <w:jc w:val="left"/>
    </w:pPr>
    <w:rPr>
      <w:rFonts w:ascii="Cambria" w:hAnsi="Cambria" w:eastAsia="Cambria" w:cs="Cambria"/>
      <w:color w:val="00000A"/>
      <w:kern w:val="0"/>
      <w:sz w:val="24"/>
      <w:szCs w:val="24"/>
      <w:lang w:val="es-ES" w:eastAsia="zh-CN" w:bidi="hi-IN"/>
    </w:rPr>
  </w:style>
  <w:style w:type="paragraph" w:styleId="Ttulogeneral">
    <w:name w:val="Title"/>
    <w:basedOn w:val="Normal1"/>
    <w:next w:val="Normal1"/>
    <w:qFormat/>
    <w:pPr>
      <w:keepNext w:val="true"/>
      <w:spacing w:lineRule="auto" w:line="240" w:before="240" w:after="120"/>
    </w:pPr>
    <w:rPr>
      <w:rFonts w:ascii="Liberation Sans" w:hAnsi="Liberation Sans" w:eastAsia="Liberation Sans" w:cs="Liberation Sans"/>
      <w:sz w:val="28"/>
      <w:szCs w:val="28"/>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LibreOffice/7.3.6.2$Windows_X86_64 LibreOffice_project/c28ca90fd6e1a19e189fc16c05f8f8924961e12e</Application>
  <AppVersion>15.0000</AppVersion>
  <Pages>2</Pages>
  <Words>713</Words>
  <Characters>3664</Characters>
  <CharactersWithSpaces>4379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2025-06-23T13:59:27Z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