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3B37" w:rsidRDefault="00622491">
      <w:pPr>
        <w:rPr>
          <w:rFonts w:ascii="Arial Narrow" w:hAnsi="Arial Narrow"/>
          <w:b/>
          <w:bCs/>
          <w:sz w:val="40"/>
          <w:szCs w:val="40"/>
        </w:rPr>
      </w:pPr>
      <w:r>
        <w:rPr>
          <w:rFonts w:ascii="Arial Narrow" w:hAnsi="Arial Narrow"/>
          <w:b/>
          <w:bCs/>
          <w:sz w:val="40"/>
          <w:szCs w:val="40"/>
        </w:rPr>
        <w:t>El Pleno aprueba la cesión a la Junta de Andalucía de la parcela ubicada en la avenida Puertas del Sur para la construcción de la Ciudad de la Justicia</w:t>
      </w:r>
    </w:p>
    <w:p w:rsidR="00B449A5" w:rsidRPr="00B449A5" w:rsidRDefault="00B449A5">
      <w:pPr>
        <w:rPr>
          <w:rFonts w:ascii="Arial Narrow" w:hAnsi="Arial Narrow"/>
          <w:bCs/>
          <w:sz w:val="36"/>
          <w:szCs w:val="36"/>
        </w:rPr>
      </w:pPr>
      <w:r w:rsidRPr="00B449A5">
        <w:rPr>
          <w:rFonts w:ascii="Arial Narrow" w:hAnsi="Arial Narrow"/>
          <w:bCs/>
          <w:sz w:val="36"/>
          <w:szCs w:val="36"/>
        </w:rPr>
        <w:t>La alcaldesa ha destacado que "tendremos un equipamiento moderno</w:t>
      </w:r>
      <w:r>
        <w:rPr>
          <w:rFonts w:ascii="Arial Narrow" w:hAnsi="Arial Narrow"/>
          <w:bCs/>
          <w:sz w:val="36"/>
          <w:szCs w:val="36"/>
        </w:rPr>
        <w:t>, accesible y</w:t>
      </w:r>
      <w:r w:rsidRPr="00B449A5">
        <w:rPr>
          <w:rFonts w:ascii="Arial Narrow" w:hAnsi="Arial Narrow"/>
          <w:bCs/>
          <w:sz w:val="36"/>
          <w:szCs w:val="36"/>
        </w:rPr>
        <w:t xml:space="preserve"> que también servirá como motor de regeneración de la zona sur"</w:t>
      </w:r>
    </w:p>
    <w:p w:rsidR="00663B37" w:rsidRDefault="00622491">
      <w:pPr>
        <w:jc w:val="both"/>
      </w:pPr>
      <w:r>
        <w:rPr>
          <w:rFonts w:ascii="Arial Narrow" w:hAnsi="Arial Narrow"/>
          <w:b/>
          <w:bCs/>
          <w:sz w:val="26"/>
          <w:szCs w:val="26"/>
        </w:rPr>
        <w:t>27 de junio de 2025.</w:t>
      </w:r>
      <w:r>
        <w:rPr>
          <w:rFonts w:ascii="Arial Narrow" w:hAnsi="Arial Narrow"/>
          <w:sz w:val="26"/>
          <w:szCs w:val="26"/>
        </w:rPr>
        <w:t xml:space="preserve"> </w:t>
      </w:r>
      <w:r>
        <w:rPr>
          <w:rFonts w:ascii="Arial Narrow" w:hAnsi="Arial Narrow" w:cs="Arial"/>
          <w:sz w:val="26"/>
          <w:szCs w:val="26"/>
        </w:rPr>
        <w:t xml:space="preserve">El Pleno ha aprobado la mutación </w:t>
      </w:r>
      <w:proofErr w:type="spellStart"/>
      <w:r>
        <w:rPr>
          <w:rFonts w:ascii="Arial Narrow" w:hAnsi="Arial Narrow" w:cs="Arial"/>
          <w:sz w:val="26"/>
          <w:szCs w:val="26"/>
        </w:rPr>
        <w:t>dema</w:t>
      </w:r>
      <w:bookmarkStart w:id="0" w:name="_GoBack"/>
      <w:bookmarkEnd w:id="0"/>
      <w:r>
        <w:rPr>
          <w:rFonts w:ascii="Arial Narrow" w:hAnsi="Arial Narrow" w:cs="Arial"/>
          <w:sz w:val="26"/>
          <w:szCs w:val="26"/>
        </w:rPr>
        <w:t>nial</w:t>
      </w:r>
      <w:proofErr w:type="spellEnd"/>
      <w:r>
        <w:rPr>
          <w:rFonts w:ascii="Arial Narrow" w:hAnsi="Arial Narrow" w:cs="Arial"/>
          <w:sz w:val="26"/>
          <w:szCs w:val="26"/>
        </w:rPr>
        <w:t xml:space="preserve"> subjetiva, a favor de la Junta de Andalucía, del suelo de titularidad municipal destinado a la implantación de la Ciudad de la Justicia de Jerez.  Para poder proceder a esta cesión, se ha dado luz verde también segregar estos terrenos de la finca matriz en que se ubican,</w:t>
      </w:r>
      <w:r>
        <w:rPr>
          <w:rFonts w:ascii="Arial Narrow" w:eastAsia="Times New Roman" w:hAnsi="Arial Narrow"/>
          <w:sz w:val="26"/>
          <w:szCs w:val="26"/>
        </w:rPr>
        <w:t xml:space="preserve"> así como aprobar el borrador de convenio mediante el cual se formalizará esta cesión, que fue avanzada recientemente por la alcaldesa, María José García-Pelayo, y el consejero de Justicia, José Antonio Nieto. </w:t>
      </w:r>
    </w:p>
    <w:p w:rsidR="00663B37" w:rsidRDefault="00622491">
      <w:pPr>
        <w:pStyle w:val="Textoindependiente"/>
        <w:spacing w:line="240" w:lineRule="auto"/>
        <w:jc w:val="both"/>
      </w:pPr>
      <w:r>
        <w:rPr>
          <w:rFonts w:ascii="Arial Narrow" w:hAnsi="Arial Narrow" w:cs="Arial"/>
          <w:sz w:val="26"/>
          <w:szCs w:val="26"/>
        </w:rPr>
        <w:t xml:space="preserve">La construcción de este nuevo equipamiento deberá efectuarse en el plazo de cinco años,  debiendo mantenerse el destino del inmueble  durante un plazo de 30 años. La parcela donde irá ubicado está situada en la avenida Puertas del Sur, en el tramo comprendido entre las rotondas de la Fundación Laboral de la Construcción y la de acceso al Polígono Industrial El Portal. </w:t>
      </w:r>
    </w:p>
    <w:p w:rsidR="00663B37" w:rsidRDefault="00622491">
      <w:pPr>
        <w:pStyle w:val="Textoindependiente"/>
        <w:spacing w:line="240" w:lineRule="auto"/>
        <w:jc w:val="both"/>
        <w:rPr>
          <w:rFonts w:ascii="Arial Narrow" w:hAnsi="Arial Narrow" w:cs="Arial"/>
          <w:sz w:val="26"/>
          <w:szCs w:val="26"/>
        </w:rPr>
      </w:pPr>
      <w:r>
        <w:rPr>
          <w:rFonts w:ascii="Arial Narrow" w:hAnsi="Arial Narrow" w:cs="Arial"/>
          <w:sz w:val="26"/>
          <w:szCs w:val="26"/>
        </w:rPr>
        <w:t xml:space="preserve">Como ya explicara la alcaldesa, la secretaria General de Infraestructuras Judiciales, Modernización Digital y Regeneración de la Consejería de Justicia, Administración Local y Función Pública de la Junta remitió un escrito el pasado 10 de junio de 2025, en el que comunicaba “la disposición plena de esta Consejería a que se efectúe esta cesión”, por lo que se están dando los pasos necesarios para cumplir el compromiso del Gobierno de facilitar la implantación de este equipamiento. </w:t>
      </w:r>
    </w:p>
    <w:p w:rsidR="003C2C22" w:rsidRDefault="003C2C22">
      <w:pPr>
        <w:pStyle w:val="Textoindependiente"/>
        <w:spacing w:line="240" w:lineRule="auto"/>
        <w:jc w:val="both"/>
        <w:rPr>
          <w:rFonts w:ascii="Arial Narrow" w:hAnsi="Arial Narrow" w:cs="Arial"/>
          <w:sz w:val="26"/>
          <w:szCs w:val="26"/>
        </w:rPr>
      </w:pPr>
      <w:r>
        <w:rPr>
          <w:rFonts w:ascii="Arial Narrow" w:hAnsi="Arial Narrow" w:cs="Arial"/>
          <w:sz w:val="26"/>
          <w:szCs w:val="26"/>
        </w:rPr>
        <w:t>La alcaldesa ha calificado esta jornada como "un d</w:t>
      </w:r>
      <w:r w:rsidR="00E91AB9">
        <w:rPr>
          <w:rFonts w:ascii="Arial Narrow" w:hAnsi="Arial Narrow" w:cs="Arial"/>
          <w:sz w:val="26"/>
          <w:szCs w:val="26"/>
        </w:rPr>
        <w:t xml:space="preserve">ía </w:t>
      </w:r>
      <w:r>
        <w:rPr>
          <w:rFonts w:ascii="Arial Narrow" w:hAnsi="Arial Narrow" w:cs="Arial"/>
          <w:sz w:val="26"/>
          <w:szCs w:val="26"/>
        </w:rPr>
        <w:t>importante para la ciudad.  R</w:t>
      </w:r>
      <w:r w:rsidR="00E91AB9">
        <w:rPr>
          <w:rFonts w:ascii="Arial Narrow" w:hAnsi="Arial Narrow" w:cs="Arial"/>
          <w:sz w:val="26"/>
          <w:szCs w:val="26"/>
        </w:rPr>
        <w:t xml:space="preserve">epasando </w:t>
      </w:r>
      <w:r>
        <w:rPr>
          <w:rFonts w:ascii="Arial Narrow" w:hAnsi="Arial Narrow" w:cs="Arial"/>
          <w:sz w:val="26"/>
          <w:szCs w:val="26"/>
        </w:rPr>
        <w:t>las hemerotecas hace</w:t>
      </w:r>
      <w:r w:rsidR="00E91AB9">
        <w:rPr>
          <w:rFonts w:ascii="Arial Narrow" w:hAnsi="Arial Narrow" w:cs="Arial"/>
          <w:sz w:val="26"/>
          <w:szCs w:val="26"/>
        </w:rPr>
        <w:t xml:space="preserve"> 25 años </w:t>
      </w:r>
      <w:r>
        <w:rPr>
          <w:rFonts w:ascii="Arial Narrow" w:hAnsi="Arial Narrow" w:cs="Arial"/>
          <w:sz w:val="26"/>
          <w:szCs w:val="26"/>
        </w:rPr>
        <w:t>que la ciudad estaba esperando este equipamiento.  L</w:t>
      </w:r>
      <w:r w:rsidR="00E91AB9">
        <w:rPr>
          <w:rFonts w:ascii="Arial Narrow" w:hAnsi="Arial Narrow" w:cs="Arial"/>
          <w:sz w:val="26"/>
          <w:szCs w:val="26"/>
        </w:rPr>
        <w:t xml:space="preserve">os operadores </w:t>
      </w:r>
      <w:r>
        <w:rPr>
          <w:rFonts w:ascii="Arial Narrow" w:hAnsi="Arial Narrow" w:cs="Arial"/>
          <w:sz w:val="26"/>
          <w:szCs w:val="26"/>
        </w:rPr>
        <w:t>jurídicos, jueces, abogados, procuradores</w:t>
      </w:r>
      <w:r w:rsidR="00E91AB9">
        <w:rPr>
          <w:rFonts w:ascii="Arial Narrow" w:hAnsi="Arial Narrow" w:cs="Arial"/>
          <w:sz w:val="26"/>
          <w:szCs w:val="26"/>
        </w:rPr>
        <w:t>, personal de administración</w:t>
      </w:r>
      <w:r>
        <w:rPr>
          <w:rFonts w:ascii="Arial Narrow" w:hAnsi="Arial Narrow" w:cs="Arial"/>
          <w:sz w:val="26"/>
          <w:szCs w:val="26"/>
        </w:rPr>
        <w:t xml:space="preserve"> estaban</w:t>
      </w:r>
      <w:r w:rsidR="00E91AB9">
        <w:rPr>
          <w:rFonts w:ascii="Arial Narrow" w:hAnsi="Arial Narrow" w:cs="Arial"/>
          <w:sz w:val="26"/>
          <w:szCs w:val="26"/>
        </w:rPr>
        <w:t xml:space="preserve"> trabajando en condiciones </w:t>
      </w:r>
      <w:r>
        <w:rPr>
          <w:rFonts w:ascii="Arial Narrow" w:hAnsi="Arial Narrow" w:cs="Arial"/>
          <w:sz w:val="26"/>
          <w:szCs w:val="26"/>
        </w:rPr>
        <w:t>in</w:t>
      </w:r>
      <w:r w:rsidR="00E91AB9">
        <w:rPr>
          <w:rFonts w:ascii="Arial Narrow" w:hAnsi="Arial Narrow" w:cs="Arial"/>
          <w:sz w:val="26"/>
          <w:szCs w:val="26"/>
        </w:rPr>
        <w:t xml:space="preserve">humanas, </w:t>
      </w:r>
      <w:r>
        <w:rPr>
          <w:rFonts w:ascii="Arial Narrow" w:hAnsi="Arial Narrow" w:cs="Arial"/>
          <w:sz w:val="26"/>
          <w:szCs w:val="26"/>
        </w:rPr>
        <w:t>como venía reflejado en los informes del Consejo general de la abogacía y de los</w:t>
      </w:r>
      <w:r w:rsidR="00E91AB9">
        <w:rPr>
          <w:rFonts w:ascii="Arial Narrow" w:hAnsi="Arial Narrow" w:cs="Arial"/>
          <w:sz w:val="26"/>
          <w:szCs w:val="26"/>
        </w:rPr>
        <w:t xml:space="preserve"> propios jueces</w:t>
      </w:r>
      <w:r>
        <w:rPr>
          <w:rFonts w:ascii="Arial Narrow" w:hAnsi="Arial Narrow" w:cs="Arial"/>
          <w:sz w:val="26"/>
          <w:szCs w:val="26"/>
        </w:rPr>
        <w:t>"</w:t>
      </w:r>
      <w:r w:rsidR="00E91AB9">
        <w:rPr>
          <w:rFonts w:ascii="Arial Narrow" w:hAnsi="Arial Narrow" w:cs="Arial"/>
          <w:sz w:val="26"/>
          <w:szCs w:val="26"/>
        </w:rPr>
        <w:t xml:space="preserve">. </w:t>
      </w:r>
    </w:p>
    <w:p w:rsidR="006F62C6" w:rsidRDefault="003C2C22">
      <w:pPr>
        <w:pStyle w:val="Textoindependiente"/>
        <w:spacing w:line="240" w:lineRule="auto"/>
        <w:jc w:val="both"/>
        <w:rPr>
          <w:rFonts w:ascii="Arial Narrow" w:hAnsi="Arial Narrow" w:cs="Arial"/>
          <w:sz w:val="26"/>
          <w:szCs w:val="26"/>
        </w:rPr>
      </w:pPr>
      <w:r>
        <w:rPr>
          <w:rFonts w:ascii="Arial Narrow" w:hAnsi="Arial Narrow" w:cs="Arial"/>
          <w:sz w:val="26"/>
          <w:szCs w:val="26"/>
        </w:rPr>
        <w:t>"</w:t>
      </w:r>
      <w:r w:rsidR="00E91AB9">
        <w:rPr>
          <w:rFonts w:ascii="Arial Narrow" w:hAnsi="Arial Narrow" w:cs="Arial"/>
          <w:sz w:val="26"/>
          <w:szCs w:val="26"/>
        </w:rPr>
        <w:t xml:space="preserve">Jerez </w:t>
      </w:r>
      <w:r>
        <w:rPr>
          <w:rFonts w:ascii="Arial Narrow" w:hAnsi="Arial Narrow" w:cs="Arial"/>
          <w:sz w:val="26"/>
          <w:szCs w:val="26"/>
        </w:rPr>
        <w:t>se merece esta Ciudad de la Justicia. Hemos entrado en el P</w:t>
      </w:r>
      <w:r w:rsidR="00E91AB9">
        <w:rPr>
          <w:rFonts w:ascii="Arial Narrow" w:hAnsi="Arial Narrow" w:cs="Arial"/>
          <w:sz w:val="26"/>
          <w:szCs w:val="26"/>
        </w:rPr>
        <w:t>lan de infraestruct</w:t>
      </w:r>
      <w:r>
        <w:rPr>
          <w:rFonts w:ascii="Arial Narrow" w:hAnsi="Arial Narrow" w:cs="Arial"/>
          <w:sz w:val="26"/>
          <w:szCs w:val="26"/>
        </w:rPr>
        <w:t>uras de la J</w:t>
      </w:r>
      <w:r w:rsidR="00E91AB9">
        <w:rPr>
          <w:rFonts w:ascii="Arial Narrow" w:hAnsi="Arial Narrow" w:cs="Arial"/>
          <w:sz w:val="26"/>
          <w:szCs w:val="26"/>
        </w:rPr>
        <w:t>unta</w:t>
      </w:r>
      <w:r>
        <w:rPr>
          <w:rFonts w:ascii="Arial Narrow" w:hAnsi="Arial Narrow" w:cs="Arial"/>
          <w:sz w:val="26"/>
          <w:szCs w:val="26"/>
        </w:rPr>
        <w:t xml:space="preserve"> de Andalucía y se lo agradecemos</w:t>
      </w:r>
      <w:r w:rsidR="002D4A46">
        <w:rPr>
          <w:rFonts w:ascii="Arial Narrow" w:hAnsi="Arial Narrow" w:cs="Arial"/>
          <w:sz w:val="26"/>
          <w:szCs w:val="26"/>
        </w:rPr>
        <w:t xml:space="preserve"> tanto al</w:t>
      </w:r>
      <w:r>
        <w:rPr>
          <w:rFonts w:ascii="Arial Narrow" w:hAnsi="Arial Narrow" w:cs="Arial"/>
          <w:sz w:val="26"/>
          <w:szCs w:val="26"/>
        </w:rPr>
        <w:t xml:space="preserve"> </w:t>
      </w:r>
      <w:r>
        <w:rPr>
          <w:rFonts w:ascii="Arial Narrow" w:eastAsia="Times New Roman" w:hAnsi="Arial Narrow"/>
          <w:sz w:val="26"/>
          <w:szCs w:val="26"/>
        </w:rPr>
        <w:t>consejero de Justicia, José Antonio Nieto</w:t>
      </w:r>
      <w:r>
        <w:rPr>
          <w:rFonts w:ascii="Arial Narrow" w:hAnsi="Arial Narrow" w:cs="Arial"/>
          <w:sz w:val="26"/>
          <w:szCs w:val="26"/>
        </w:rPr>
        <w:t xml:space="preserve"> </w:t>
      </w:r>
      <w:r w:rsidR="002D4A46">
        <w:rPr>
          <w:rFonts w:ascii="Arial Narrow" w:hAnsi="Arial Narrow" w:cs="Arial"/>
          <w:sz w:val="26"/>
          <w:szCs w:val="26"/>
        </w:rPr>
        <w:t>como</w:t>
      </w:r>
      <w:r w:rsidR="00E91AB9">
        <w:rPr>
          <w:rFonts w:ascii="Arial Narrow" w:hAnsi="Arial Narrow" w:cs="Arial"/>
          <w:sz w:val="26"/>
          <w:szCs w:val="26"/>
        </w:rPr>
        <w:t xml:space="preserve"> al presidente</w:t>
      </w:r>
      <w:r>
        <w:rPr>
          <w:rFonts w:ascii="Arial Narrow" w:hAnsi="Arial Narrow" w:cs="Arial"/>
          <w:sz w:val="26"/>
          <w:szCs w:val="26"/>
        </w:rPr>
        <w:t xml:space="preserve"> de la Junta, Juanma Moreno.</w:t>
      </w:r>
      <w:r w:rsidR="00E91AB9">
        <w:rPr>
          <w:rFonts w:ascii="Arial Narrow" w:hAnsi="Arial Narrow" w:cs="Arial"/>
          <w:sz w:val="26"/>
          <w:szCs w:val="26"/>
        </w:rPr>
        <w:t xml:space="preserve"> </w:t>
      </w:r>
      <w:r w:rsidR="00F0596C">
        <w:rPr>
          <w:rFonts w:ascii="Arial Narrow" w:hAnsi="Arial Narrow" w:cs="Arial"/>
          <w:sz w:val="26"/>
          <w:szCs w:val="26"/>
        </w:rPr>
        <w:t xml:space="preserve">Esta cesión </w:t>
      </w:r>
      <w:r w:rsidR="00E91AB9">
        <w:rPr>
          <w:rFonts w:ascii="Arial Narrow" w:hAnsi="Arial Narrow" w:cs="Arial"/>
          <w:sz w:val="26"/>
          <w:szCs w:val="26"/>
        </w:rPr>
        <w:t>va a permitir</w:t>
      </w:r>
      <w:r w:rsidR="00F0596C">
        <w:rPr>
          <w:rFonts w:ascii="Arial Narrow" w:hAnsi="Arial Narrow" w:cs="Arial"/>
          <w:sz w:val="26"/>
          <w:szCs w:val="26"/>
        </w:rPr>
        <w:t xml:space="preserve"> tener una Ciudad de la J</w:t>
      </w:r>
      <w:r w:rsidR="00E91AB9">
        <w:rPr>
          <w:rFonts w:ascii="Arial Narrow" w:hAnsi="Arial Narrow" w:cs="Arial"/>
          <w:sz w:val="26"/>
          <w:szCs w:val="26"/>
        </w:rPr>
        <w:t xml:space="preserve">usticia moderna, </w:t>
      </w:r>
      <w:r w:rsidR="00F0596C">
        <w:rPr>
          <w:rFonts w:ascii="Arial Narrow" w:hAnsi="Arial Narrow" w:cs="Arial"/>
          <w:sz w:val="26"/>
          <w:szCs w:val="26"/>
        </w:rPr>
        <w:t>en un espacio accesible y es también una</w:t>
      </w:r>
      <w:r w:rsidR="00E91AB9">
        <w:rPr>
          <w:rFonts w:ascii="Arial Narrow" w:hAnsi="Arial Narrow" w:cs="Arial"/>
          <w:sz w:val="26"/>
          <w:szCs w:val="26"/>
        </w:rPr>
        <w:t xml:space="preserve"> apuesta por la zona sur, </w:t>
      </w:r>
      <w:r w:rsidR="00F0596C">
        <w:rPr>
          <w:rFonts w:ascii="Arial Narrow" w:hAnsi="Arial Narrow" w:cs="Arial"/>
          <w:sz w:val="26"/>
          <w:szCs w:val="26"/>
        </w:rPr>
        <w:t xml:space="preserve">que </w:t>
      </w:r>
      <w:r w:rsidR="00E91AB9">
        <w:rPr>
          <w:rFonts w:ascii="Arial Narrow" w:hAnsi="Arial Narrow" w:cs="Arial"/>
          <w:sz w:val="26"/>
          <w:szCs w:val="26"/>
        </w:rPr>
        <w:t>merece equipamientos dignos y oportunidades de crecimiento y ser</w:t>
      </w:r>
      <w:r w:rsidR="00F0596C">
        <w:rPr>
          <w:rFonts w:ascii="Arial Narrow" w:hAnsi="Arial Narrow" w:cs="Arial"/>
          <w:sz w:val="26"/>
          <w:szCs w:val="26"/>
        </w:rPr>
        <w:t>vicios de calidad. La Ciudad de la Justicia servirá de</w:t>
      </w:r>
      <w:r w:rsidR="00E91AB9">
        <w:rPr>
          <w:rFonts w:ascii="Arial Narrow" w:hAnsi="Arial Narrow" w:cs="Arial"/>
          <w:sz w:val="26"/>
          <w:szCs w:val="26"/>
        </w:rPr>
        <w:t xml:space="preserve"> motor </w:t>
      </w:r>
      <w:r w:rsidR="00F0596C">
        <w:rPr>
          <w:rFonts w:ascii="Arial Narrow" w:hAnsi="Arial Narrow" w:cs="Arial"/>
          <w:sz w:val="26"/>
          <w:szCs w:val="26"/>
        </w:rPr>
        <w:t>para regenerar</w:t>
      </w:r>
      <w:r w:rsidR="00E91AB9">
        <w:rPr>
          <w:rFonts w:ascii="Arial Narrow" w:hAnsi="Arial Narrow" w:cs="Arial"/>
          <w:sz w:val="26"/>
          <w:szCs w:val="26"/>
        </w:rPr>
        <w:t xml:space="preserve"> la zona y crecer desde todos los puntos de vista. </w:t>
      </w:r>
      <w:r w:rsidR="00E91AB9">
        <w:rPr>
          <w:rFonts w:ascii="Arial Narrow" w:hAnsi="Arial Narrow" w:cs="Arial"/>
          <w:sz w:val="26"/>
          <w:szCs w:val="26"/>
        </w:rPr>
        <w:lastRenderedPageBreak/>
        <w:t>El presupuesto</w:t>
      </w:r>
      <w:r w:rsidR="00F0596C">
        <w:rPr>
          <w:rFonts w:ascii="Arial Narrow" w:hAnsi="Arial Narrow" w:cs="Arial"/>
          <w:sz w:val="26"/>
          <w:szCs w:val="26"/>
        </w:rPr>
        <w:t xml:space="preserve"> inicial es de 30 millones de euros y su</w:t>
      </w:r>
      <w:r w:rsidR="00E91AB9">
        <w:rPr>
          <w:rFonts w:ascii="Arial Narrow" w:hAnsi="Arial Narrow" w:cs="Arial"/>
          <w:sz w:val="26"/>
          <w:szCs w:val="26"/>
        </w:rPr>
        <w:t xml:space="preserve"> construcción </w:t>
      </w:r>
      <w:r w:rsidR="00F0596C">
        <w:rPr>
          <w:rFonts w:ascii="Arial Narrow" w:hAnsi="Arial Narrow" w:cs="Arial"/>
          <w:sz w:val="26"/>
          <w:szCs w:val="26"/>
        </w:rPr>
        <w:t>va a crear muchos</w:t>
      </w:r>
      <w:r w:rsidR="00E91AB9">
        <w:rPr>
          <w:rFonts w:ascii="Arial Narrow" w:hAnsi="Arial Narrow" w:cs="Arial"/>
          <w:sz w:val="26"/>
          <w:szCs w:val="26"/>
        </w:rPr>
        <w:t xml:space="preserve"> puestos de tra</w:t>
      </w:r>
      <w:r w:rsidR="00F0596C">
        <w:rPr>
          <w:rFonts w:ascii="Arial Narrow" w:hAnsi="Arial Narrow" w:cs="Arial"/>
          <w:sz w:val="26"/>
          <w:szCs w:val="26"/>
        </w:rPr>
        <w:t>bajo, dinamizando el</w:t>
      </w:r>
      <w:r w:rsidR="00E91AB9">
        <w:rPr>
          <w:rFonts w:ascii="Arial Narrow" w:hAnsi="Arial Narrow" w:cs="Arial"/>
          <w:sz w:val="26"/>
          <w:szCs w:val="26"/>
        </w:rPr>
        <w:t xml:space="preserve"> sector</w:t>
      </w:r>
      <w:r w:rsidR="00F0596C">
        <w:rPr>
          <w:rFonts w:ascii="Arial Narrow" w:hAnsi="Arial Narrow" w:cs="Arial"/>
          <w:sz w:val="26"/>
          <w:szCs w:val="26"/>
        </w:rPr>
        <w:t xml:space="preserve"> de la </w:t>
      </w:r>
      <w:r w:rsidR="00E91AB9">
        <w:rPr>
          <w:rFonts w:ascii="Arial Narrow" w:hAnsi="Arial Narrow" w:cs="Arial"/>
          <w:sz w:val="26"/>
          <w:szCs w:val="26"/>
        </w:rPr>
        <w:t xml:space="preserve"> construcción </w:t>
      </w:r>
      <w:r w:rsidR="004E200B">
        <w:rPr>
          <w:rFonts w:ascii="Arial Narrow" w:hAnsi="Arial Narrow" w:cs="Arial"/>
          <w:sz w:val="26"/>
          <w:szCs w:val="26"/>
        </w:rPr>
        <w:t>no só</w:t>
      </w:r>
      <w:r w:rsidR="00E91AB9">
        <w:rPr>
          <w:rFonts w:ascii="Arial Narrow" w:hAnsi="Arial Narrow" w:cs="Arial"/>
          <w:sz w:val="26"/>
          <w:szCs w:val="26"/>
        </w:rPr>
        <w:t xml:space="preserve">lo </w:t>
      </w:r>
      <w:r w:rsidR="004E200B">
        <w:rPr>
          <w:rFonts w:ascii="Arial Narrow" w:hAnsi="Arial Narrow" w:cs="Arial"/>
          <w:sz w:val="26"/>
          <w:szCs w:val="26"/>
        </w:rPr>
        <w:t xml:space="preserve"> con </w:t>
      </w:r>
      <w:r w:rsidR="00E91AB9">
        <w:rPr>
          <w:rFonts w:ascii="Arial Narrow" w:hAnsi="Arial Narrow" w:cs="Arial"/>
          <w:sz w:val="26"/>
          <w:szCs w:val="26"/>
        </w:rPr>
        <w:t>viviendas sino</w:t>
      </w:r>
      <w:r w:rsidR="004E200B">
        <w:rPr>
          <w:rFonts w:ascii="Arial Narrow" w:hAnsi="Arial Narrow" w:cs="Arial"/>
          <w:sz w:val="26"/>
          <w:szCs w:val="26"/>
        </w:rPr>
        <w:t xml:space="preserve"> con</w:t>
      </w:r>
      <w:r w:rsidR="00E91AB9">
        <w:rPr>
          <w:rFonts w:ascii="Arial Narrow" w:hAnsi="Arial Narrow" w:cs="Arial"/>
          <w:sz w:val="26"/>
          <w:szCs w:val="26"/>
        </w:rPr>
        <w:t xml:space="preserve"> eq</w:t>
      </w:r>
      <w:r w:rsidR="006F62C6">
        <w:rPr>
          <w:rFonts w:ascii="Arial Narrow" w:hAnsi="Arial Narrow" w:cs="Arial"/>
          <w:sz w:val="26"/>
          <w:szCs w:val="26"/>
        </w:rPr>
        <w:t>uipamientos públicos" ha señalado la alcaldesa, que ha recordado que e</w:t>
      </w:r>
      <w:r w:rsidR="00E91AB9">
        <w:rPr>
          <w:rFonts w:ascii="Arial Narrow" w:hAnsi="Arial Narrow" w:cs="Arial"/>
          <w:sz w:val="26"/>
          <w:szCs w:val="26"/>
        </w:rPr>
        <w:t xml:space="preserve">l </w:t>
      </w:r>
      <w:r w:rsidR="006F62C6">
        <w:rPr>
          <w:rFonts w:ascii="Arial Narrow" w:hAnsi="Arial Narrow" w:cs="Arial"/>
          <w:sz w:val="26"/>
          <w:szCs w:val="26"/>
        </w:rPr>
        <w:t>suelo en la P</w:t>
      </w:r>
      <w:r w:rsidR="00E91AB9">
        <w:rPr>
          <w:rFonts w:ascii="Arial Narrow" w:hAnsi="Arial Narrow" w:cs="Arial"/>
          <w:sz w:val="26"/>
          <w:szCs w:val="26"/>
        </w:rPr>
        <w:t>laza de la</w:t>
      </w:r>
      <w:r w:rsidR="006F62C6">
        <w:rPr>
          <w:rFonts w:ascii="Arial Narrow" w:hAnsi="Arial Narrow" w:cs="Arial"/>
          <w:sz w:val="26"/>
          <w:szCs w:val="26"/>
        </w:rPr>
        <w:t>s</w:t>
      </w:r>
      <w:r w:rsidR="00E91AB9">
        <w:rPr>
          <w:rFonts w:ascii="Arial Narrow" w:hAnsi="Arial Narrow" w:cs="Arial"/>
          <w:sz w:val="26"/>
          <w:szCs w:val="26"/>
        </w:rPr>
        <w:t xml:space="preserve"> </w:t>
      </w:r>
      <w:r w:rsidR="006F62C6">
        <w:rPr>
          <w:rFonts w:ascii="Arial Narrow" w:hAnsi="Arial Narrow" w:cs="Arial"/>
          <w:sz w:val="26"/>
          <w:szCs w:val="26"/>
        </w:rPr>
        <w:t xml:space="preserve">Marinas irá destinado a vivienda protegida, según el compromiso adquirido por la Junta de Andalucía. "Una vez más se demuestra que las administraciones cuando nos damos la mano obtenemos cosas buenas para Jerez". </w:t>
      </w:r>
    </w:p>
    <w:p w:rsidR="00663B37" w:rsidRDefault="00622491">
      <w:pPr>
        <w:pStyle w:val="Textoindependiente"/>
        <w:spacing w:line="240" w:lineRule="auto"/>
        <w:jc w:val="both"/>
      </w:pPr>
      <w:r>
        <w:rPr>
          <w:rFonts w:ascii="Arial Narrow" w:hAnsi="Arial Narrow" w:cs="Arial"/>
          <w:sz w:val="26"/>
          <w:szCs w:val="26"/>
        </w:rPr>
        <w:t xml:space="preserve">Para la elección de estos suelos se han valorado aspectos como sus grandes dimensiones, su disponibilidad inmediata (están completamente urbanizados), la dotación de todos los servicios necesarios, así como su localización, en una zona amplia, accesible y bien comunicada. </w:t>
      </w:r>
    </w:p>
    <w:p w:rsidR="00663B37" w:rsidRDefault="00622491">
      <w:pPr>
        <w:pStyle w:val="Textoindependiente"/>
        <w:spacing w:line="240" w:lineRule="auto"/>
        <w:jc w:val="both"/>
      </w:pPr>
      <w:r>
        <w:rPr>
          <w:rFonts w:ascii="Arial Narrow" w:hAnsi="Arial Narrow" w:cs="Arial"/>
          <w:sz w:val="26"/>
          <w:szCs w:val="26"/>
        </w:rPr>
        <w:t xml:space="preserve">Cabe recordar que, nada más llegar al Gobierno, en agosto de 2023, la alcaldesa y el consejero de Justicia firmaron el protocolo de construcción de este equipamiento, que se venía demandando desde el año 1997, y que concentrará todos los servicios judiciales de la ciudad, evitando así la actual dispersión y la duplicidad de esfuerzos, y mejorando el trabajo de los profesionales y los servicios que se prestan al ciudadano. Otra fecha importante fue abril de 2024, en que avanzó por parte de la alcaldesa y el consejero, la elección de estos suelos  destinados a la construcción de la Ciudad de la Justicia. </w:t>
      </w:r>
    </w:p>
    <w:p w:rsidR="00663B37" w:rsidRDefault="00622491">
      <w:pPr>
        <w:pStyle w:val="Textoindependiente"/>
        <w:spacing w:line="240" w:lineRule="auto"/>
        <w:jc w:val="both"/>
      </w:pPr>
      <w:r>
        <w:rPr>
          <w:rFonts w:ascii="Arial Narrow" w:hAnsi="Arial Narrow" w:cs="Arial"/>
          <w:sz w:val="26"/>
          <w:szCs w:val="26"/>
        </w:rPr>
        <w:t>Por último, cabe recordar también que Jerez fue incluida en el Plan de Infrae</w:t>
      </w:r>
      <w:r w:rsidR="00344113">
        <w:rPr>
          <w:rFonts w:ascii="Arial Narrow" w:hAnsi="Arial Narrow" w:cs="Arial"/>
          <w:sz w:val="26"/>
          <w:szCs w:val="26"/>
        </w:rPr>
        <w:t>s</w:t>
      </w:r>
      <w:r>
        <w:rPr>
          <w:rFonts w:ascii="Arial Narrow" w:hAnsi="Arial Narrow" w:cs="Arial"/>
          <w:sz w:val="26"/>
          <w:szCs w:val="26"/>
        </w:rPr>
        <w:t xml:space="preserve">tructuras Judiciales de Andalucía 2023-2030, confirmándose así el compromiso de la Junta de hacer realidad este proyecto. </w:t>
      </w:r>
    </w:p>
    <w:p w:rsidR="00663B37" w:rsidRDefault="00622491">
      <w:pPr>
        <w:pStyle w:val="Textoindependiente"/>
        <w:spacing w:line="240" w:lineRule="auto"/>
        <w:jc w:val="both"/>
      </w:pPr>
      <w:r>
        <w:rPr>
          <w:rFonts w:ascii="Arial Narrow" w:hAnsi="Arial Narrow" w:cs="Arial"/>
          <w:b/>
          <w:bCs/>
          <w:sz w:val="26"/>
          <w:szCs w:val="26"/>
        </w:rPr>
        <w:t>Descripción del terreno</w:t>
      </w:r>
    </w:p>
    <w:p w:rsidR="00663B37" w:rsidRDefault="00622491">
      <w:pPr>
        <w:pStyle w:val="Textoindependiente"/>
        <w:spacing w:line="240" w:lineRule="auto"/>
        <w:jc w:val="both"/>
      </w:pPr>
      <w:r>
        <w:rPr>
          <w:rFonts w:ascii="Arial Narrow" w:hAnsi="Arial Narrow" w:cs="Arial"/>
          <w:sz w:val="26"/>
          <w:szCs w:val="26"/>
        </w:rPr>
        <w:t>La finca matriz, situada en la manzana seis de la Unidad de Ejecución 2H-2 Polígono Sur 2, tiene una superficie total de 35.124 metros cuadrados de superficie, de los que 28.720 metros cuadrados, correspondientes a la parcela segregada, serán destinados a la construcción de la Ciudad de la Justicia.  En estos terrenos se ubica, además, un centro de Salud del SAS que ocupa una superficie de parcela de 2.633 m</w:t>
      </w:r>
      <w:r w:rsidR="00344113">
        <w:rPr>
          <w:rFonts w:ascii="Arial Narrow" w:hAnsi="Arial Narrow" w:cs="Arial"/>
          <w:sz w:val="26"/>
          <w:szCs w:val="26"/>
        </w:rPr>
        <w:t xml:space="preserve">etros cuadrados de los que se ha aprobado la segregación para </w:t>
      </w:r>
      <w:r w:rsidR="00461E9A">
        <w:rPr>
          <w:rFonts w:ascii="Arial Narrow" w:hAnsi="Arial Narrow" w:cs="Arial"/>
          <w:sz w:val="26"/>
          <w:szCs w:val="26"/>
        </w:rPr>
        <w:t xml:space="preserve">ofrecer la mutación </w:t>
      </w:r>
      <w:proofErr w:type="spellStart"/>
      <w:r w:rsidR="00461E9A">
        <w:rPr>
          <w:rFonts w:ascii="Arial Narrow" w:hAnsi="Arial Narrow" w:cs="Arial"/>
          <w:sz w:val="26"/>
          <w:szCs w:val="26"/>
        </w:rPr>
        <w:t>demanial</w:t>
      </w:r>
      <w:proofErr w:type="spellEnd"/>
      <w:r w:rsidR="00461E9A">
        <w:rPr>
          <w:rFonts w:ascii="Arial Narrow" w:hAnsi="Arial Narrow" w:cs="Arial"/>
          <w:sz w:val="26"/>
          <w:szCs w:val="26"/>
        </w:rPr>
        <w:t xml:space="preserve"> a la Junta de Andalucía para la construcción de dicha Ciudad de la Justicia. </w:t>
      </w:r>
    </w:p>
    <w:p w:rsidR="00663B37" w:rsidRDefault="00622491">
      <w:pPr>
        <w:pStyle w:val="Textoindependiente"/>
        <w:spacing w:line="240" w:lineRule="auto"/>
        <w:jc w:val="both"/>
      </w:pPr>
      <w:r>
        <w:rPr>
          <w:rFonts w:ascii="Arial Narrow" w:hAnsi="Arial Narrow"/>
          <w:sz w:val="26"/>
          <w:szCs w:val="26"/>
        </w:rPr>
        <w:t xml:space="preserve">Los suelos de la Ciudad de la Justicia tienen la calificación jurídica de bien </w:t>
      </w:r>
      <w:proofErr w:type="spellStart"/>
      <w:r>
        <w:rPr>
          <w:rFonts w:ascii="Arial Narrow" w:hAnsi="Arial Narrow"/>
          <w:sz w:val="26"/>
          <w:szCs w:val="26"/>
        </w:rPr>
        <w:t>demanial</w:t>
      </w:r>
      <w:proofErr w:type="spellEnd"/>
      <w:r>
        <w:rPr>
          <w:rFonts w:ascii="Arial Narrow" w:hAnsi="Arial Narrow"/>
          <w:sz w:val="26"/>
          <w:szCs w:val="26"/>
        </w:rPr>
        <w:t xml:space="preserve">, dado que </w:t>
      </w:r>
      <w:r>
        <w:rPr>
          <w:rFonts w:ascii="Arial Narrow" w:eastAsia="Times New Roman" w:hAnsi="Arial Narrow"/>
          <w:sz w:val="26"/>
          <w:szCs w:val="26"/>
        </w:rPr>
        <w:t xml:space="preserve">se encuentran clasificados como Suelo Urbano y calificados como Equipamiento Público (Educacional, Asistencial, Deportivo y Administrativo y Servicios Públicos). </w:t>
      </w:r>
    </w:p>
    <w:p w:rsidR="00663B37" w:rsidRDefault="00622491">
      <w:pPr>
        <w:pStyle w:val="Textoindependiente"/>
        <w:spacing w:line="240" w:lineRule="auto"/>
        <w:jc w:val="both"/>
        <w:rPr>
          <w:rFonts w:ascii="Arial Narrow" w:hAnsi="Arial Narrow"/>
          <w:sz w:val="26"/>
          <w:szCs w:val="26"/>
        </w:rPr>
      </w:pPr>
      <w:r>
        <w:rPr>
          <w:rFonts w:ascii="Arial Narrow" w:hAnsi="Arial Narrow" w:cs="Arial"/>
          <w:sz w:val="26"/>
          <w:szCs w:val="26"/>
        </w:rPr>
        <w:t xml:space="preserve">La mutación </w:t>
      </w:r>
      <w:proofErr w:type="spellStart"/>
      <w:r>
        <w:rPr>
          <w:rFonts w:ascii="Arial Narrow" w:hAnsi="Arial Narrow" w:cs="Arial"/>
          <w:sz w:val="26"/>
          <w:szCs w:val="26"/>
        </w:rPr>
        <w:t>demanial</w:t>
      </w:r>
      <w:proofErr w:type="spellEnd"/>
      <w:r>
        <w:rPr>
          <w:rFonts w:ascii="Arial Narrow" w:hAnsi="Arial Narrow" w:cs="Arial"/>
          <w:sz w:val="26"/>
          <w:szCs w:val="26"/>
        </w:rPr>
        <w:t xml:space="preserve"> subjetiva se aplica en aquellos supuestos en que se traspasa un bien de una administración pública a otra sin modificar su destino a uso o servicio público; esta cesión debe formalizarse mediante un convenio entre las administraciones intervinientes. </w:t>
      </w:r>
    </w:p>
    <w:p w:rsidR="00663B37" w:rsidRDefault="00622491">
      <w:pPr>
        <w:pStyle w:val="Textoindependiente"/>
        <w:spacing w:line="240" w:lineRule="auto"/>
        <w:jc w:val="both"/>
        <w:rPr>
          <w:rFonts w:ascii="Arial Narrow" w:hAnsi="Arial Narrow"/>
          <w:sz w:val="26"/>
          <w:szCs w:val="26"/>
        </w:rPr>
      </w:pPr>
      <w:r>
        <w:rPr>
          <w:rFonts w:ascii="Arial Narrow" w:hAnsi="Arial Narrow" w:cs="Arial"/>
          <w:sz w:val="26"/>
          <w:szCs w:val="26"/>
        </w:rPr>
        <w:t xml:space="preserve">Así pues, la mutación </w:t>
      </w:r>
      <w:proofErr w:type="spellStart"/>
      <w:r>
        <w:rPr>
          <w:rFonts w:ascii="Arial Narrow" w:hAnsi="Arial Narrow" w:cs="Arial"/>
          <w:sz w:val="26"/>
          <w:szCs w:val="26"/>
        </w:rPr>
        <w:t>demanial</w:t>
      </w:r>
      <w:proofErr w:type="spellEnd"/>
      <w:r>
        <w:rPr>
          <w:rFonts w:ascii="Arial Narrow" w:hAnsi="Arial Narrow" w:cs="Arial"/>
          <w:sz w:val="26"/>
          <w:szCs w:val="26"/>
        </w:rPr>
        <w:t xml:space="preserve"> subjetiva conlleva el cambio en la titularidad de este bien entre administraciones, sin que ello suponga perder su carácter de bien público. </w:t>
      </w:r>
    </w:p>
    <w:p w:rsidR="00663B37" w:rsidRDefault="00663B37">
      <w:pPr>
        <w:spacing w:line="271" w:lineRule="auto"/>
        <w:jc w:val="both"/>
        <w:rPr>
          <w:rFonts w:ascii="sans-serif" w:hAnsi="sans-serif" w:cs="Arial"/>
          <w:color w:val="000000"/>
          <w:sz w:val="23"/>
          <w:szCs w:val="23"/>
          <w:bdr w:val="single" w:sz="2" w:space="1" w:color="000000"/>
        </w:rPr>
      </w:pPr>
    </w:p>
    <w:p w:rsidR="00663B37" w:rsidRDefault="00663B37">
      <w:pPr>
        <w:spacing w:line="360" w:lineRule="atLeast"/>
        <w:rPr>
          <w:rFonts w:ascii="Arial Narrow" w:hAnsi="Arial Narrow"/>
          <w:sz w:val="26"/>
          <w:szCs w:val="26"/>
        </w:rPr>
      </w:pPr>
    </w:p>
    <w:sectPr w:rsidR="00663B37">
      <w:headerReference w:type="default" r:id="rId6"/>
      <w:footerReference w:type="default" r:id="rId7"/>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B15" w:rsidRDefault="00622491">
      <w:pPr>
        <w:spacing w:after="0"/>
      </w:pPr>
      <w:r>
        <w:separator/>
      </w:r>
    </w:p>
  </w:endnote>
  <w:endnote w:type="continuationSeparator" w:id="0">
    <w:p w:rsidR="006E2B15" w:rsidRDefault="006224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Lucida Sans Unico">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ymbol;Arial Unicode MS">
    <w:altName w:val="Times New Roman"/>
    <w:panose1 w:val="00000000000000000000"/>
    <w:charset w:val="00"/>
    <w:family w:val="roman"/>
    <w:notTrueType/>
    <w:pitch w:val="default"/>
  </w:font>
  <w:font w:name="CG Times">
    <w:charset w:val="00"/>
    <w:family w:val="roman"/>
    <w:pitch w:val="variable"/>
  </w:font>
  <w:font w:name="Humanst521 Lt BT;Bookman Old St">
    <w:panose1 w:val="00000000000000000000"/>
    <w:charset w:val="00"/>
    <w:family w:val="roman"/>
    <w:notTrueType/>
    <w:pitch w:val="default"/>
  </w:font>
  <w:font w:name="Univers;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Liberation Mono;Courier New">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ans-serif">
    <w:altName w:val="Arial"/>
    <w:charset w:val="00"/>
    <w:family w:val="roman"/>
    <w:pitch w:val="variable"/>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37" w:rsidRDefault="00663B37">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B15" w:rsidRDefault="00622491">
      <w:pPr>
        <w:spacing w:after="0"/>
      </w:pPr>
      <w:r>
        <w:separator/>
      </w:r>
    </w:p>
  </w:footnote>
  <w:footnote w:type="continuationSeparator" w:id="0">
    <w:p w:rsidR="006E2B15" w:rsidRDefault="006224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37" w:rsidRDefault="00622491">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663B37" w:rsidRDefault="00622491">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663B37"/>
    <w:rsid w:val="002D4A46"/>
    <w:rsid w:val="003252A3"/>
    <w:rsid w:val="00344113"/>
    <w:rsid w:val="003C2C22"/>
    <w:rsid w:val="00461E9A"/>
    <w:rsid w:val="004E200B"/>
    <w:rsid w:val="00622491"/>
    <w:rsid w:val="00663B37"/>
    <w:rsid w:val="006E2B15"/>
    <w:rsid w:val="006F62C6"/>
    <w:rsid w:val="00B449A5"/>
    <w:rsid w:val="00E91AB9"/>
    <w:rsid w:val="00F059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199A1-CDBB-4943-B296-4AD4341C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spacing w:after="200"/>
    </w:pPr>
    <w:rPr>
      <w:rFonts w:ascii="Cambria" w:eastAsia="Cambria" w:hAnsi="Cambria"/>
      <w:color w:val="00000A"/>
      <w:sz w:val="24"/>
      <w:szCs w:val="24"/>
      <w:lang w:eastAsia="en-US"/>
    </w:rPr>
  </w:style>
  <w:style w:type="paragraph" w:styleId="Ttulo1">
    <w:name w:val="heading 1"/>
    <w:basedOn w:val="Normal"/>
    <w:next w:val="Normal"/>
    <w:qFormat/>
    <w:pPr>
      <w:keepNext/>
      <w:outlineLvl w:val="0"/>
    </w:pPr>
    <w:rPr>
      <w:rFonts w:ascii="Humanst521 BT;Lucida Sans Unico" w:hAnsi="Humanst521 BT;Lucida Sans Unico" w:cs="Humanst521 BT;Lucida Sans Unico"/>
      <w:b/>
      <w:sz w:val="28"/>
    </w:rPr>
  </w:style>
  <w:style w:type="paragraph" w:styleId="Ttulo2">
    <w:name w:val="heading 2"/>
    <w:basedOn w:val="Normal"/>
    <w:qFormat/>
    <w:pPr>
      <w:spacing w:beforeAutospacing="1" w:afterAutospacing="1"/>
      <w:outlineLvl w:val="1"/>
    </w:pPr>
    <w:rPr>
      <w:rFonts w:ascii="Times New Roman" w:eastAsia="Times New Roman" w:hAnsi="Times New Roman"/>
      <w:b/>
      <w:bCs/>
      <w:sz w:val="36"/>
      <w:szCs w:val="36"/>
      <w:lang w:eastAsia="es-ES"/>
    </w:rPr>
  </w:style>
  <w:style w:type="paragraph" w:styleId="Ttulo3">
    <w:name w:val="heading 3"/>
    <w:basedOn w:val="Ttulo"/>
    <w:next w:val="Textoindependiente"/>
    <w:qFormat/>
    <w:pPr>
      <w:spacing w:before="140"/>
      <w:outlineLvl w:val="2"/>
    </w:pPr>
    <w:rPr>
      <w:rFonts w:ascii="Liberation Serif" w:eastAsia="Segoe UI" w:hAnsi="Liberation Serif" w:cs="Tahoma"/>
      <w:b/>
      <w:bCs/>
    </w:rPr>
  </w:style>
  <w:style w:type="paragraph" w:styleId="Ttulo4">
    <w:name w:val="heading 4"/>
    <w:basedOn w:val="Normal"/>
    <w:next w:val="Normal"/>
    <w:qFormat/>
    <w:pPr>
      <w:keepNext/>
      <w:jc w:val="both"/>
      <w:outlineLvl w:val="3"/>
    </w:pPr>
    <w:rPr>
      <w:rFonts w:ascii="Arial" w:hAnsi="Arial" w:cs="Arial"/>
      <w:b/>
      <w:bCs/>
      <w:lang w:val="es-ES_tradnl"/>
    </w:rPr>
  </w:style>
  <w:style w:type="paragraph" w:styleId="Ttulo5">
    <w:name w:val="heading 5"/>
    <w:basedOn w:val="Normal"/>
    <w:next w:val="Normal"/>
    <w:qFormat/>
    <w:pPr>
      <w:keepNext/>
      <w:keepLines/>
      <w:spacing w:before="40" w:after="0"/>
      <w:outlineLvl w:val="4"/>
    </w:pPr>
    <w:rPr>
      <w:rFonts w:ascii="Calibri Light" w:eastAsia="Times New Roman" w:hAnsi="Calibri Light"/>
      <w:color w:val="117A02"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fasis">
    <w:name w:val="Emphasis"/>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TtuloCar">
    <w:name w:val="Título Car"/>
    <w:qFormat/>
    <w:rPr>
      <w:rFonts w:ascii="CG Times" w:eastAsia="Times New Roman" w:hAnsi="CG Times" w:cs="CG Times"/>
      <w:sz w:val="24"/>
    </w:rPr>
  </w:style>
  <w:style w:type="character" w:customStyle="1" w:styleId="TextoindependienteCar">
    <w:name w:val="Texto independiente Car"/>
    <w:qFormat/>
    <w:rPr>
      <w:rFonts w:ascii="Humanst521 Lt BT;Bookman Old St" w:eastAsia="Times New Roman" w:hAnsi="Humanst521 Lt BT;Bookman Old St" w:cs="Times New Roman"/>
      <w:sz w:val="28"/>
      <w:szCs w:val="20"/>
    </w:rPr>
  </w:style>
  <w:style w:type="character" w:customStyle="1" w:styleId="Ttulo1Car">
    <w:name w:val="Título 1 Car"/>
    <w:qFormat/>
    <w:rPr>
      <w:rFonts w:ascii="Humanst521 BT;Lucida Sans Unico" w:eastAsia="Times New Roman" w:hAnsi="Humanst521 BT;Lucida Sans Unico" w:cs="Times New Roman"/>
      <w:b/>
      <w:sz w:val="28"/>
      <w:szCs w:val="20"/>
    </w:rPr>
  </w:style>
  <w:style w:type="character" w:customStyle="1" w:styleId="Ttulo2Car">
    <w:name w:val="Título 2 Car"/>
    <w:basedOn w:val="Fuentedeprrafopredeter"/>
    <w:qFormat/>
    <w:rPr>
      <w:rFonts w:ascii="Cambria" w:eastAsia="Times New Roman" w:hAnsi="Cambria" w:cs="Times New Roman"/>
      <w:b/>
      <w:bCs/>
      <w:i/>
      <w:iCs/>
      <w:sz w:val="28"/>
      <w:szCs w:val="28"/>
    </w:rPr>
  </w:style>
  <w:style w:type="character" w:customStyle="1" w:styleId="Sangra2detindependienteCar">
    <w:name w:val="Sangría 2 de t. independiente Car"/>
    <w:basedOn w:val="Fuentedeprrafopredeter"/>
    <w:qFormat/>
    <w:rPr>
      <w:rFonts w:ascii="Univers;Arial" w:eastAsia="Times New Roman" w:hAnsi="Univers;Arial" w:cs="Univers;Arial"/>
      <w:spacing w:val="0"/>
      <w:sz w:val="24"/>
      <w:lang w:val="es-ES"/>
    </w:rPr>
  </w:style>
  <w:style w:type="character" w:customStyle="1" w:styleId="TextosinformatoCar">
    <w:name w:val="Texto sin formato Car"/>
    <w:basedOn w:val="Fuentedeprrafopredeter"/>
    <w:qFormat/>
    <w:rPr>
      <w:rFonts w:ascii="Consolas" w:eastAsia="Calibri" w:hAnsi="Consolas" w:cs="Times New Roman"/>
      <w:sz w:val="21"/>
      <w:szCs w:val="21"/>
    </w:rPr>
  </w:style>
  <w:style w:type="character" w:customStyle="1" w:styleId="SinespaciadoCar">
    <w:name w:val="Sin espaciado Car"/>
    <w:basedOn w:val="Fuentedeprrafopredeter"/>
    <w:qFormat/>
    <w:rPr>
      <w:rFonts w:ascii="Times New Roman" w:eastAsia="Times New Roman" w:hAnsi="Times New Roman" w:cs="Times New Roman"/>
      <w:sz w:val="24"/>
      <w:szCs w:val="24"/>
      <w:lang w:val="es-ES" w:bidi="ar-SA"/>
    </w:rPr>
  </w:style>
  <w:style w:type="character" w:customStyle="1" w:styleId="Ttulo5Car">
    <w:name w:val="Título 5 Car"/>
    <w:basedOn w:val="Fuentedeprrafopredeter"/>
    <w:qFormat/>
    <w:rPr>
      <w:rFonts w:ascii="Calibri" w:eastAsia="Calibri" w:hAnsi="Calibri" w:cs="Calibri"/>
      <w:b/>
      <w:bCs/>
      <w:i/>
      <w:iCs/>
      <w:sz w:val="26"/>
      <w:szCs w:val="26"/>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bCs/>
      <w:sz w:val="24"/>
      <w:szCs w:val="24"/>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customStyle="1" w:styleId="TextonotapieCar">
    <w:name w:val="Texto nota pie Car"/>
    <w:basedOn w:val="Fuentedeprrafopredeter"/>
    <w:qFormat/>
    <w:rPr>
      <w:sz w:val="20"/>
      <w:szCs w:val="20"/>
    </w:rPr>
  </w:style>
  <w:style w:type="character" w:styleId="Refdecomentario">
    <w:name w:val="annotation reference"/>
    <w:basedOn w:val="Fuentedeprrafopredeter"/>
    <w:qFormat/>
    <w:rPr>
      <w:sz w:val="16"/>
      <w:szCs w:val="16"/>
    </w:rP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character" w:customStyle="1" w:styleId="Ninguno">
    <w:name w:val="Ninguno"/>
    <w:qFormat/>
    <w:rPr>
      <w:lang w:val="es-ES_tradnl"/>
    </w:rPr>
  </w:style>
  <w:style w:type="character" w:customStyle="1" w:styleId="WWCharLFO8LVL1">
    <w:name w:val="WW_CharLFO8LVL1"/>
    <w:qFormat/>
    <w:rPr>
      <w:rFonts w:ascii="OpenSymbol" w:eastAsia="OpenSymbol" w:hAnsi="OpenSymbol" w:cs="OpenSymbol"/>
    </w:rPr>
  </w:style>
  <w:style w:type="character" w:customStyle="1" w:styleId="WWCharLFO8LVL2">
    <w:name w:val="WW_CharLFO8LVL2"/>
    <w:qFormat/>
    <w:rPr>
      <w:rFonts w:ascii="OpenSymbol" w:eastAsia="OpenSymbol" w:hAnsi="OpenSymbol" w:cs="OpenSymbol"/>
    </w:rPr>
  </w:style>
  <w:style w:type="character" w:customStyle="1" w:styleId="WWCharLFO8LVL3">
    <w:name w:val="WW_CharLFO8LVL3"/>
    <w:qFormat/>
    <w:rPr>
      <w:rFonts w:ascii="OpenSymbol" w:eastAsia="OpenSymbol" w:hAnsi="OpenSymbol" w:cs="OpenSymbol"/>
    </w:rPr>
  </w:style>
  <w:style w:type="character" w:customStyle="1" w:styleId="WWCharLFO8LVL4">
    <w:name w:val="WW_CharLFO8LVL4"/>
    <w:qFormat/>
    <w:rPr>
      <w:rFonts w:ascii="OpenSymbol" w:eastAsia="OpenSymbol" w:hAnsi="OpenSymbol" w:cs="OpenSymbol"/>
    </w:rPr>
  </w:style>
  <w:style w:type="character" w:customStyle="1" w:styleId="WWCharLFO8LVL5">
    <w:name w:val="WW_CharLFO8LVL5"/>
    <w:qFormat/>
    <w:rPr>
      <w:rFonts w:ascii="OpenSymbol" w:eastAsia="OpenSymbol" w:hAnsi="OpenSymbol" w:cs="OpenSymbol"/>
    </w:rPr>
  </w:style>
  <w:style w:type="character" w:customStyle="1" w:styleId="WWCharLFO8LVL6">
    <w:name w:val="WW_CharLFO8LVL6"/>
    <w:qFormat/>
    <w:rPr>
      <w:rFonts w:ascii="OpenSymbol" w:eastAsia="OpenSymbol" w:hAnsi="OpenSymbol" w:cs="OpenSymbol"/>
    </w:rPr>
  </w:style>
  <w:style w:type="character" w:customStyle="1" w:styleId="WWCharLFO8LVL7">
    <w:name w:val="WW_CharLFO8LVL7"/>
    <w:qFormat/>
    <w:rPr>
      <w:rFonts w:ascii="OpenSymbol" w:eastAsia="OpenSymbol" w:hAnsi="OpenSymbol" w:cs="OpenSymbol"/>
    </w:rPr>
  </w:style>
  <w:style w:type="character" w:customStyle="1" w:styleId="WWCharLFO8LVL8">
    <w:name w:val="WW_CharLFO8LVL8"/>
    <w:qFormat/>
    <w:rPr>
      <w:rFonts w:ascii="OpenSymbol" w:eastAsia="OpenSymbol" w:hAnsi="OpenSymbol" w:cs="OpenSymbol"/>
    </w:rPr>
  </w:style>
  <w:style w:type="character" w:customStyle="1" w:styleId="WWCharLFO8LVL9">
    <w:name w:val="WW_CharLFO8LVL9"/>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rPr>
      <w:rFonts w:ascii="Tahoma" w:hAnsi="Tahoma" w:cs="Tahoma"/>
      <w:sz w:val="16"/>
      <w:szCs w:val="16"/>
    </w:rPr>
  </w:style>
  <w:style w:type="paragraph" w:customStyle="1" w:styleId="Tablanormal3">
    <w:name w:val="Tabla normal3"/>
    <w:qFormat/>
    <w:pPr>
      <w:overflowPunct w:val="0"/>
    </w:pPr>
    <w:rPr>
      <w:lang w:eastAsia="es-ES"/>
    </w:rPr>
  </w:style>
  <w:style w:type="paragraph" w:customStyle="1" w:styleId="Tablanormal2">
    <w:name w:val="Tabla normal2"/>
    <w:qFormat/>
    <w:pPr>
      <w:overflowPunct w:val="0"/>
    </w:pPr>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pPr>
      <w:overflowPunct w:val="0"/>
    </w:pPr>
    <w:rPr>
      <w:rFonts w:eastAsia="Tahoma"/>
      <w:lang w:eastAsia="es-ES"/>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0">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pPr>
      <w:overflowPunct w:val="0"/>
    </w:pPr>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pPr>
      <w:overflowPunct w:val="0"/>
    </w:pPr>
    <w:rPr>
      <w:rFonts w:ascii="Calibri" w:eastAsia="Calibri" w:hAnsi="Calibri" w:cs="Calibri"/>
      <w:kern w:val="2"/>
      <w:sz w:val="22"/>
      <w:szCs w:val="22"/>
      <w:lang w:eastAsia="zh-C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pPr>
      <w:overflowPunct w:val="0"/>
    </w:pPr>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pPr>
      <w:overflowPunct w:val="0"/>
    </w:pPr>
    <w:rPr>
      <w:rFonts w:ascii="Liberation Serif" w:eastAsia="NSimSun" w:hAnsi="Liberation Serif" w:cs="Arial"/>
      <w:kern w:val="2"/>
      <w:sz w:val="24"/>
      <w:szCs w:val="24"/>
      <w:lang w:eastAsia="zh-CN" w:bidi="hi-IN"/>
    </w:rPr>
  </w:style>
  <w:style w:type="paragraph" w:styleId="Prrafodelista">
    <w:name w:val="List Paragraph"/>
    <w:basedOn w:val="Normal"/>
    <w:qFormat/>
    <w:pPr>
      <w:ind w:left="708"/>
    </w:pPr>
  </w:style>
  <w:style w:type="paragraph" w:styleId="Textosinformato">
    <w:name w:val="Plain Text"/>
    <w:basedOn w:val="Normal"/>
    <w:qFormat/>
    <w:rPr>
      <w:rFonts w:ascii="Consolas" w:eastAsia="Calibri" w:hAnsi="Consolas" w:cs="Consolas"/>
      <w:sz w:val="21"/>
      <w:szCs w:val="21"/>
    </w:rPr>
  </w:style>
  <w:style w:type="paragraph" w:customStyle="1" w:styleId="Standard1">
    <w:name w:val="Standard1"/>
    <w:qFormat/>
    <w:pPr>
      <w:textAlignment w:val="baseline"/>
    </w:pPr>
    <w:rPr>
      <w:kern w:val="2"/>
      <w:lang w:val="en-US" w:eastAsia="zh-CN"/>
    </w:rPr>
  </w:style>
  <w:style w:type="paragraph" w:styleId="Sangradetextonormal">
    <w:name w:val="Body Text Indent"/>
    <w:basedOn w:val="Normal"/>
    <w:pPr>
      <w:tabs>
        <w:tab w:val="left" w:pos="0"/>
      </w:tabs>
      <w:ind w:firstLine="567"/>
      <w:jc w:val="both"/>
    </w:pPr>
    <w:rPr>
      <w:rFonts w:ascii="Arial" w:hAnsi="Arial" w:cs="Arial"/>
      <w:spacing w:val="-2"/>
    </w:rPr>
  </w:style>
  <w:style w:type="paragraph" w:customStyle="1" w:styleId="Contenidodelmarco">
    <w:name w:val="Contenido del marco"/>
    <w:basedOn w:val="Normal"/>
    <w:qFormat/>
  </w:style>
  <w:style w:type="paragraph" w:customStyle="1" w:styleId="Caption111111">
    <w:name w:val="Caption111111"/>
    <w:basedOn w:val="Normal"/>
    <w:qFormat/>
    <w:pPr>
      <w:suppressLineNumbers/>
      <w:spacing w:before="120" w:after="120"/>
    </w:pPr>
    <w:rPr>
      <w:rFonts w:cs="Mang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2">
    <w:name w:val="Caption112"/>
    <w:basedOn w:val="Normal"/>
    <w:qFormat/>
    <w:pPr>
      <w:suppressLineNumbers/>
      <w:spacing w:before="120" w:after="120"/>
    </w:pPr>
    <w:rPr>
      <w:rFonts w:cs="Arial"/>
      <w:i/>
      <w:iCs/>
    </w:rPr>
  </w:style>
  <w:style w:type="paragraph" w:customStyle="1" w:styleId="Caption13">
    <w:name w:val="Caption13"/>
    <w:basedOn w:val="Normal"/>
    <w:qFormat/>
    <w:pPr>
      <w:suppressLineNumbers/>
      <w:spacing w:before="120" w:after="120"/>
    </w:pPr>
    <w:rPr>
      <w:rFonts w:cs="Arial"/>
      <w:i/>
      <w:iCs/>
    </w:rPr>
  </w:style>
  <w:style w:type="paragraph" w:customStyle="1" w:styleId="Caption2">
    <w:name w:val="Caption2"/>
    <w:basedOn w:val="Normal"/>
    <w:qFormat/>
    <w:pPr>
      <w:suppressLineNumbers/>
      <w:spacing w:before="120" w:after="120"/>
    </w:pPr>
    <w:rPr>
      <w:rFonts w:cs="Arial"/>
      <w:i/>
      <w:iCs/>
    </w:rPr>
  </w:style>
  <w:style w:type="paragraph" w:customStyle="1" w:styleId="Textopreformateado">
    <w:name w:val="Texto preformateado"/>
    <w:basedOn w:val="Normal"/>
    <w:qFormat/>
    <w:pPr>
      <w:spacing w:after="0"/>
    </w:pPr>
    <w:rPr>
      <w:rFonts w:ascii="Liberation Mono;Courier New" w:eastAsia="NSimSun" w:hAnsi="Liberation Mono;Courier New" w:cs="Liberation Mono;Courier New"/>
      <w:sz w:val="20"/>
      <w:szCs w:val="20"/>
    </w:rPr>
  </w:style>
  <w:style w:type="paragraph" w:customStyle="1" w:styleId="Citaenbloque">
    <w:name w:val="Cita en bloque"/>
    <w:basedOn w:val="Normal"/>
    <w:qFormat/>
    <w:pPr>
      <w:spacing w:after="283"/>
      <w:ind w:left="567" w:right="567"/>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styleId="Sangra2detindependiente">
    <w:name w:val="Body Text Indent 2"/>
    <w:basedOn w:val="Normal"/>
    <w:qFormat/>
    <w:pPr>
      <w:tabs>
        <w:tab w:val="left" w:pos="0"/>
      </w:tabs>
      <w:ind w:left="851" w:hanging="142"/>
      <w:jc w:val="both"/>
    </w:pPr>
    <w:rPr>
      <w:rFonts w:ascii="Univers;Arial" w:eastAsia="Times New Roman" w:hAnsi="Univers;Arial" w:cs="Univers;Arial"/>
      <w:szCs w:val="20"/>
    </w:rPr>
  </w:style>
  <w:style w:type="paragraph" w:styleId="Sinespaciado">
    <w:name w:val="No Spacing"/>
    <w:qFormat/>
    <w:rPr>
      <w:color w:val="00000A"/>
    </w:rPr>
  </w:style>
  <w:style w:type="paragraph" w:customStyle="1" w:styleId="Encabezado5">
    <w:name w:val="Encabezado 5"/>
    <w:basedOn w:val="Normal"/>
    <w:qFormat/>
    <w:pPr>
      <w:spacing w:before="240" w:after="60"/>
      <w:outlineLvl w:val="4"/>
    </w:pPr>
    <w:rPr>
      <w:b/>
      <w:bCs/>
      <w:i/>
      <w:iCs/>
      <w:sz w:val="26"/>
      <w:szCs w:val="26"/>
    </w:rPr>
  </w:style>
  <w:style w:type="paragraph" w:customStyle="1" w:styleId="caption3">
    <w:name w:val="caption3"/>
    <w:basedOn w:val="Normal"/>
    <w:qFormat/>
    <w:pPr>
      <w:suppressLineNumbers/>
      <w:spacing w:before="120" w:after="120"/>
    </w:pPr>
    <w:rPr>
      <w:rFonts w:cs="Mangal"/>
      <w:i/>
      <w:iCs/>
    </w:rPr>
  </w:style>
  <w:style w:type="paragraph" w:styleId="Textonotapie">
    <w:name w:val="footnote text"/>
    <w:basedOn w:val="Normal"/>
    <w:pPr>
      <w:spacing w:after="0"/>
    </w:pPr>
    <w:rPr>
      <w:sz w:val="20"/>
      <w:szCs w:val="20"/>
    </w:rPr>
  </w:style>
  <w:style w:type="paragraph" w:styleId="Asuntodelcomentario">
    <w:name w:val="annotation subject"/>
    <w:basedOn w:val="Textocomentario"/>
    <w:next w:val="Textocomentario"/>
    <w:qFormat/>
    <w:rPr>
      <w:b/>
      <w:bCs/>
    </w:rPr>
  </w:style>
  <w:style w:type="paragraph" w:styleId="Textocomentario">
    <w:name w:val="annotation text"/>
    <w:basedOn w:val="Normal"/>
    <w:qFormat/>
    <w:rPr>
      <w:sz w:val="20"/>
      <w:szCs w:val="20"/>
    </w:rPr>
  </w:style>
  <w:style w:type="paragraph" w:customStyle="1" w:styleId="Normal11">
    <w:name w:val="Normal11"/>
    <w:qFormat/>
  </w:style>
  <w:style w:type="paragraph" w:styleId="Textoindependiente3">
    <w:name w:val="Body Text 3"/>
    <w:basedOn w:val="Normal"/>
    <w:qFormat/>
    <w:pPr>
      <w:spacing w:after="120"/>
    </w:pPr>
    <w:rPr>
      <w:sz w:val="16"/>
      <w:szCs w:val="16"/>
    </w:rPr>
  </w:style>
  <w:style w:type="paragraph" w:styleId="Textoindependiente2">
    <w:name w:val="Body Text 2"/>
    <w:basedOn w:val="Normal"/>
    <w:qFormat/>
    <w:pPr>
      <w:jc w:val="center"/>
    </w:pPr>
    <w:rPr>
      <w:rFonts w:ascii="Arial" w:hAnsi="Arial"/>
    </w:rPr>
  </w:style>
  <w:style w:type="paragraph" w:customStyle="1" w:styleId="Textoindependiente22">
    <w:name w:val="Texto independiente 22"/>
    <w:basedOn w:val="Normal"/>
    <w:qFormat/>
    <w:pPr>
      <w:jc w:val="center"/>
    </w:pPr>
    <w:rPr>
      <w:rFonts w:ascii="Arial" w:hAnsi="Arial" w:cs="Arial"/>
      <w:color w:val="000000"/>
      <w:kern w:val="2"/>
      <w:sz w:val="20"/>
      <w:lang w:eastAsia="zh-CN"/>
    </w:rPr>
  </w:style>
  <w:style w:type="paragraph" w:customStyle="1" w:styleId="Poromisin">
    <w:name w:val="Por omisión"/>
    <w:qFormat/>
    <w:pPr>
      <w:spacing w:before="160" w:line="288" w:lineRule="auto"/>
    </w:pPr>
    <w:rPr>
      <w:rFonts w:ascii="Helvetica Neue" w:hAnsi="Helvetica Neue" w:cs="Arial Unicode MS"/>
      <w:color w:val="000000"/>
      <w:sz w:val="24"/>
      <w:szCs w:val="24"/>
      <w:lang w:val="es-ES_tradnl"/>
    </w:rPr>
  </w:style>
  <w:style w:type="paragraph" w:customStyle="1" w:styleId="Caption1112">
    <w:name w:val="Caption1112"/>
    <w:basedOn w:val="Normal"/>
    <w:qFormat/>
    <w:pPr>
      <w:suppressLineNumbers/>
      <w:spacing w:before="120" w:after="120"/>
    </w:pPr>
    <w:rPr>
      <w:rFonts w:cs="Arial"/>
      <w:i/>
      <w:iCs/>
    </w:rPr>
  </w:style>
  <w:style w:type="paragraph" w:customStyle="1" w:styleId="Caption11112">
    <w:name w:val="Caption11112"/>
    <w:basedOn w:val="Normal"/>
    <w:qFormat/>
    <w:pPr>
      <w:suppressLineNumbers/>
      <w:spacing w:before="120" w:after="120"/>
    </w:pPr>
    <w:rPr>
      <w:rFonts w:cs="Arial"/>
      <w:i/>
      <w:iCs/>
    </w:rPr>
  </w:style>
  <w:style w:type="paragraph" w:customStyle="1" w:styleId="Caption111112">
    <w:name w:val="Caption111112"/>
    <w:basedOn w:val="Normal"/>
    <w:qFormat/>
    <w:pPr>
      <w:suppressLineNumbers/>
      <w:spacing w:before="120" w:after="120"/>
    </w:pPr>
    <w:rPr>
      <w:rFonts w:cs="Arial"/>
      <w:i/>
      <w:iCs/>
    </w:rPr>
  </w:style>
  <w:style w:type="paragraph" w:customStyle="1" w:styleId="caption111113">
    <w:name w:val="caption111113"/>
    <w:basedOn w:val="Normal"/>
    <w:qFormat/>
    <w:pPr>
      <w:spacing w:before="120" w:after="120"/>
    </w:pPr>
    <w:rPr>
      <w:i/>
      <w:iCs/>
    </w:rPr>
  </w:style>
  <w:style w:type="paragraph" w:customStyle="1" w:styleId="caption11113">
    <w:name w:val="caption11113"/>
    <w:basedOn w:val="Normal"/>
    <w:qFormat/>
    <w:pPr>
      <w:suppressLineNumbers/>
      <w:spacing w:before="120" w:after="120"/>
    </w:pPr>
    <w:rPr>
      <w:rFonts w:cs="Arial"/>
      <w:i/>
      <w:iCs/>
    </w:rPr>
  </w:style>
  <w:style w:type="paragraph" w:customStyle="1" w:styleId="caption1113">
    <w:name w:val="caption1113"/>
    <w:basedOn w:val="Normal"/>
    <w:qFormat/>
    <w:pPr>
      <w:suppressLineNumbers/>
      <w:spacing w:before="120" w:after="120"/>
    </w:pPr>
    <w:rPr>
      <w:rFonts w:cs="Arial"/>
      <w:i/>
      <w:iCs/>
    </w:rPr>
  </w:style>
  <w:style w:type="numbering" w:customStyle="1" w:styleId="Ningunalista">
    <w:name w:val="Ninguna lista"/>
    <w:qFormat/>
  </w:style>
  <w:style w:type="numbering" w:customStyle="1" w:styleId="WW8Num2">
    <w:name w:val="WW8Num2"/>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1187</TotalTime>
  <Pages>3</Pages>
  <Words>853</Words>
  <Characters>4695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159</cp:revision>
  <cp:lastPrinted>2025-05-06T12:19:00Z</cp:lastPrinted>
  <dcterms:created xsi:type="dcterms:W3CDTF">2008-04-18T08:06:00Z</dcterms:created>
  <dcterms:modified xsi:type="dcterms:W3CDTF">2025-06-27T08:17:00Z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