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pPr>
      <w:r>
        <w:rPr>
          <w:rStyle w:val="Fuentedeprrafopredeter2"/>
          <w:rFonts w:cs="Century Gothic" w:ascii="Arial Narrow" w:hAnsi="Arial Narrow"/>
          <w:b/>
          <w:bCs/>
          <w:color w:val="000000"/>
          <w:sz w:val="40"/>
          <w:szCs w:val="40"/>
        </w:rPr>
        <w:t xml:space="preserve">El Pleno aprueba inicialmente la modificación del PGOU que regulará las viviendas de uso turístico (VUT) como actividad económica </w:t>
      </w:r>
    </w:p>
    <w:p>
      <w:pPr>
        <w:pStyle w:val="Normal"/>
        <w:jc w:val="left"/>
        <w:rPr/>
      </w:pPr>
      <w:r>
        <w:rPr>
          <w:rFonts w:ascii="Arial Narrow" w:hAnsi="Arial Narrow"/>
          <w:sz w:val="32"/>
          <w:szCs w:val="32"/>
        </w:rPr>
        <w:t>A partir de ahora, y en todo el término municipal de Jerez, las VUT sólo se podrán establecer en la planta baja de los edificios de uso residencial</w:t>
      </w:r>
    </w:p>
    <w:p>
      <w:pPr>
        <w:pStyle w:val="Normal"/>
        <w:jc w:val="both"/>
        <w:rPr>
          <w:rFonts w:ascii="Arial Narrow" w:hAnsi="Arial Narrow"/>
          <w:color w:val="auto"/>
        </w:rPr>
      </w:pPr>
      <w:r>
        <w:rPr>
          <w:rFonts w:ascii="Arial Narrow" w:hAnsi="Arial Narrow"/>
          <w:b/>
          <w:bCs/>
          <w:color w:val="auto"/>
          <w:sz w:val="26"/>
          <w:szCs w:val="26"/>
        </w:rPr>
        <w:t>27 de junio de 2025</w:t>
      </w:r>
      <w:r>
        <w:rPr>
          <w:rFonts w:ascii="Arial Narrow" w:hAnsi="Arial Narrow"/>
          <w:color w:val="auto"/>
          <w:sz w:val="26"/>
          <w:szCs w:val="26"/>
        </w:rPr>
        <w:t xml:space="preserve">. El Pleno ha aprobado inicialmente la modificación del PGOU de Jerez que, como gran novedad, regulará las viviendas de uso turístico en la ciudad (VUT). La propuesta ha contado con los votos a favor de PP, PSOE y La Confluencia, y la abstención de VOX.  El pleno se inició con un minuto de silencio por la muerte, en apenas 48 horas, de cinco mujeres y un menor de dos años, víctimas de la violencia machista. </w:t>
      </w:r>
    </w:p>
    <w:p>
      <w:pPr>
        <w:pStyle w:val="Normal"/>
        <w:jc w:val="both"/>
        <w:rPr>
          <w:rFonts w:ascii="Arial Narrow" w:hAnsi="Arial Narrow"/>
          <w:color w:val="auto"/>
          <w:sz w:val="26"/>
          <w:szCs w:val="26"/>
        </w:rPr>
      </w:pPr>
      <w:r>
        <w:rPr>
          <w:rFonts w:ascii="Arial Narrow" w:hAnsi="Arial Narrow"/>
          <w:color w:val="auto"/>
          <w:sz w:val="26"/>
          <w:szCs w:val="26"/>
        </w:rPr>
        <w:t xml:space="preserve">La delegada de Urbanismo y Vivienda, </w:t>
      </w:r>
      <w:r>
        <w:rPr>
          <w:rFonts w:ascii="Arial Narrow" w:hAnsi="Arial Narrow"/>
          <w:color w:val="auto"/>
          <w:sz w:val="26"/>
          <w:szCs w:val="26"/>
        </w:rPr>
        <w:t>Belén de la Cuadra,</w:t>
      </w:r>
      <w:r>
        <w:rPr>
          <w:rFonts w:ascii="Arial Narrow" w:hAnsi="Arial Narrow"/>
          <w:color w:val="auto"/>
          <w:sz w:val="26"/>
          <w:szCs w:val="26"/>
        </w:rPr>
        <w:t xml:space="preserve"> ha explicado que, en relación a las VUT “no existe actualmente un marco legal que las regule a nivel local, sólo están reguladas a nivel turístico y no a nivel urbanístico, por lo que con esta modificación del PGOU pretendemos que sea una actividad regulada por el Plan Gene</w:t>
      </w:r>
      <w:r>
        <w:rPr>
          <w:rFonts w:ascii="Arial Narrow" w:hAnsi="Arial Narrow"/>
          <w:i w:val="false"/>
          <w:iCs w:val="false"/>
          <w:color w:val="auto"/>
          <w:sz w:val="26"/>
          <w:szCs w:val="26"/>
        </w:rPr>
        <w:t xml:space="preserve">ral”. Así pues, esta regulación tiene como finalidad principal definir las reglas del juego a las que se deben ajustar estas modalidades de alojamiento. </w:t>
      </w:r>
    </w:p>
    <w:p>
      <w:pPr>
        <w:pStyle w:val="Normal"/>
        <w:spacing w:before="0" w:after="0"/>
        <w:jc w:val="both"/>
        <w:rPr>
          <w:rFonts w:ascii="Arial Narrow" w:hAnsi="Arial Narrow"/>
          <w:color w:val="auto"/>
          <w:sz w:val="26"/>
          <w:szCs w:val="26"/>
        </w:rPr>
      </w:pPr>
      <w:r>
        <w:rPr>
          <w:rFonts w:ascii="Arial Narrow" w:hAnsi="Arial Narrow"/>
          <w:color w:val="auto"/>
          <w:sz w:val="26"/>
          <w:szCs w:val="26"/>
        </w:rPr>
        <w:t xml:space="preserve">El primer objetivo de la modificación es clarificar en qué uso urbanístico se encuadra esta actividad y analizar sus condiciones de compatibilidad con el uso residencial. </w:t>
      </w:r>
      <w:r>
        <w:rPr>
          <w:rFonts w:ascii="Arial Narrow" w:hAnsi="Arial Narrow"/>
          <w:color w:val="auto"/>
          <w:sz w:val="26"/>
          <w:szCs w:val="26"/>
        </w:rPr>
        <w:t>Desde este punto de vista, l</w:t>
      </w:r>
      <w:r>
        <w:rPr>
          <w:rFonts w:ascii="Arial Narrow" w:hAnsi="Arial Narrow"/>
          <w:color w:val="auto"/>
          <w:sz w:val="26"/>
          <w:szCs w:val="26"/>
        </w:rPr>
        <w:t xml:space="preserve">as viviendas de uso turístico responden a las necesidades y fines propios de una actividad económica cada vez más profesionalizada por lo que serán reguladas dentro del uso </w:t>
      </w:r>
      <w:r>
        <w:rPr>
          <w:rFonts w:ascii="Arial Narrow" w:hAnsi="Arial Narrow"/>
          <w:i w:val="false"/>
          <w:iCs w:val="false"/>
          <w:color w:val="auto"/>
          <w:sz w:val="26"/>
          <w:szCs w:val="26"/>
        </w:rPr>
        <w:t xml:space="preserve">de ‘hospedaje’. </w:t>
      </w:r>
    </w:p>
    <w:p>
      <w:pPr>
        <w:pStyle w:val="Normal"/>
        <w:spacing w:before="0" w:after="0"/>
        <w:jc w:val="both"/>
        <w:rPr>
          <w:rFonts w:ascii="Arial Narrow" w:hAnsi="Arial Narrow"/>
          <w:color w:val="auto"/>
          <w:sz w:val="26"/>
          <w:szCs w:val="26"/>
        </w:rPr>
      </w:pPr>
      <w:r>
        <w:rPr>
          <w:rFonts w:ascii="Arial Narrow" w:hAnsi="Arial Narrow"/>
          <w:color w:val="auto"/>
          <w:sz w:val="26"/>
          <w:szCs w:val="26"/>
        </w:rPr>
      </w:r>
    </w:p>
    <w:p>
      <w:pPr>
        <w:pStyle w:val="Normal"/>
        <w:spacing w:before="0" w:after="0"/>
        <w:jc w:val="both"/>
        <w:rPr>
          <w:i w:val="false"/>
          <w:i w:val="false"/>
          <w:iCs w:val="false"/>
        </w:rPr>
      </w:pPr>
      <w:r>
        <w:rPr>
          <w:rFonts w:ascii="Arial Narrow" w:hAnsi="Arial Narrow"/>
          <w:i w:val="false"/>
          <w:iCs w:val="false"/>
          <w:color w:val="auto"/>
          <w:sz w:val="26"/>
          <w:szCs w:val="26"/>
        </w:rPr>
        <w:t>La modificación del PGOU de Jerez fijará, por tanto, los requisitos técnicos y condiciones de orden urbanístico que deben cumplir los inmuebles que, diseñados originalmente para lo residencial, comparten espacio con viviendas destinadas a un uso turístico. Como medida más significativa de esta modificación, Belén de la Cuadra, ha destacado que las VU</w:t>
      </w:r>
      <w:r>
        <w:rPr>
          <w:rFonts w:ascii="Arial Narrow" w:hAnsi="Arial Narrow"/>
          <w:b w:val="false"/>
          <w:bCs w:val="false"/>
          <w:i w:val="false"/>
          <w:iCs w:val="false"/>
          <w:color w:val="auto"/>
          <w:sz w:val="26"/>
          <w:szCs w:val="26"/>
        </w:rPr>
        <w:t>T sólo se podrán establecer en la planta baja de los edificios de uso residencial; "el objeto principal de la presente modificación del PGOU se centra en establecer, de modo fundamentado, un régimen de convivencia entre el uso terciario de hospedaje y el residencial de vivienda, a través de un criterio de compatibilidad como es la sola admisión de su implantación en planta baja".</w:t>
      </w:r>
    </w:p>
    <w:p>
      <w:pPr>
        <w:pStyle w:val="Normal"/>
        <w:spacing w:before="0" w:after="0"/>
        <w:jc w:val="both"/>
        <w:rPr>
          <w:b w:val="false"/>
          <w:bCs w:val="false"/>
        </w:rPr>
      </w:pPr>
      <w:r>
        <w:rPr>
          <w:b w:val="false"/>
          <w:bCs w:val="false"/>
        </w:rPr>
      </w:r>
    </w:p>
    <w:p>
      <w:pPr>
        <w:pStyle w:val="Normal"/>
        <w:spacing w:before="0" w:after="0"/>
        <w:jc w:val="both"/>
        <w:rPr>
          <w:rFonts w:ascii="Arial Narrow" w:hAnsi="Arial Narrow"/>
          <w:color w:val="auto"/>
          <w:sz w:val="26"/>
          <w:szCs w:val="26"/>
        </w:rPr>
      </w:pPr>
      <w:r>
        <w:rPr>
          <w:rFonts w:ascii="Arial Narrow" w:hAnsi="Arial Narrow"/>
          <w:b w:val="false"/>
          <w:bCs w:val="false"/>
          <w:color w:val="auto"/>
          <w:sz w:val="26"/>
          <w:szCs w:val="26"/>
        </w:rPr>
        <w:t xml:space="preserve">Asimismo, Belén de la Cuadra ha explicado otros trabajos que se están llevando a cabo de manera paralela a esta modificación, como es el estudio de zonificación </w:t>
      </w:r>
      <w:r>
        <w:rPr>
          <w:rFonts w:ascii="Arial Narrow" w:hAnsi="Arial Narrow"/>
          <w:b w:val="false"/>
          <w:bCs w:val="false"/>
          <w:color w:val="auto"/>
          <w:sz w:val="26"/>
          <w:szCs w:val="26"/>
        </w:rPr>
        <w:t xml:space="preserve">que tiene como objetivo marcar en cada área el porcentaje de VUT en relación con las viviendas residenciales; esta zonificación, tal y como ha explicado, </w:t>
      </w:r>
      <w:r>
        <w:rPr>
          <w:rFonts w:ascii="Arial Narrow" w:hAnsi="Arial Narrow"/>
          <w:b w:val="false"/>
          <w:bCs w:val="false"/>
          <w:color w:val="auto"/>
          <w:sz w:val="26"/>
          <w:szCs w:val="26"/>
        </w:rPr>
        <w:t xml:space="preserve">no se ha podido llevar a cabo en el marco de esta modificación </w:t>
      </w:r>
      <w:r>
        <w:rPr>
          <w:rFonts w:ascii="Arial Narrow" w:hAnsi="Arial Narrow"/>
          <w:b w:val="false"/>
          <w:bCs w:val="false"/>
          <w:color w:val="auto"/>
          <w:sz w:val="26"/>
          <w:szCs w:val="26"/>
        </w:rPr>
        <w:t xml:space="preserve">del PGOU </w:t>
      </w:r>
      <w:r>
        <w:rPr>
          <w:rFonts w:ascii="Arial Narrow" w:hAnsi="Arial Narrow"/>
          <w:b w:val="false"/>
          <w:bCs w:val="false"/>
          <w:color w:val="auto"/>
          <w:sz w:val="26"/>
          <w:szCs w:val="26"/>
        </w:rPr>
        <w:t xml:space="preserve">por cuestiones legales. En este sentido, ha comunicado “estamos </w:t>
      </w:r>
      <w:r>
        <w:rPr>
          <w:rFonts w:ascii="Arial Narrow" w:hAnsi="Arial Narrow"/>
          <w:b w:val="false"/>
          <w:bCs w:val="false"/>
          <w:color w:val="auto"/>
          <w:sz w:val="26"/>
          <w:szCs w:val="26"/>
        </w:rPr>
        <w:t>trabajando</w:t>
      </w:r>
      <w:r>
        <w:rPr>
          <w:rFonts w:ascii="Arial Narrow" w:hAnsi="Arial Narrow"/>
          <w:b w:val="false"/>
          <w:bCs w:val="false"/>
          <w:color w:val="auto"/>
          <w:sz w:val="26"/>
          <w:szCs w:val="26"/>
        </w:rPr>
        <w:t xml:space="preserve"> conjuntamente con Emuvijesa, </w:t>
      </w:r>
      <w:r>
        <w:rPr>
          <w:rFonts w:ascii="Arial Narrow" w:hAnsi="Arial Narrow"/>
          <w:b w:val="false"/>
          <w:bCs w:val="false"/>
          <w:color w:val="auto"/>
          <w:sz w:val="26"/>
          <w:szCs w:val="26"/>
        </w:rPr>
        <w:t xml:space="preserve">en </w:t>
      </w:r>
      <w:r>
        <w:rPr>
          <w:rFonts w:ascii="Arial Narrow" w:hAnsi="Arial Narrow"/>
          <w:b w:val="false"/>
          <w:bCs w:val="false"/>
          <w:color w:val="auto"/>
          <w:sz w:val="26"/>
          <w:szCs w:val="26"/>
        </w:rPr>
        <w:t>la elaboración de una zonificación que se regulará a través de una Ordenanza</w:t>
      </w:r>
      <w:r>
        <w:rPr>
          <w:rFonts w:ascii="Arial Narrow" w:hAnsi="Arial Narrow"/>
          <w:b w:val="false"/>
          <w:bCs w:val="false"/>
          <w:color w:val="auto"/>
          <w:sz w:val="26"/>
          <w:szCs w:val="26"/>
        </w:rPr>
        <w:t xml:space="preserve">”, que se revisará al año de su entrada en vigor para analizar su funcionamiento. </w:t>
      </w:r>
    </w:p>
    <w:p>
      <w:pPr>
        <w:pStyle w:val="Normal"/>
        <w:spacing w:before="0" w:after="0"/>
        <w:jc w:val="both"/>
        <w:rPr>
          <w:b w:val="false"/>
          <w:bCs w:val="false"/>
        </w:rPr>
      </w:pPr>
      <w:r>
        <w:rPr>
          <w:b w:val="false"/>
          <w:bCs w:val="false"/>
        </w:rPr>
      </w:r>
    </w:p>
    <w:p>
      <w:pPr>
        <w:pStyle w:val="Normal"/>
        <w:spacing w:before="0" w:after="0"/>
        <w:jc w:val="both"/>
        <w:rPr>
          <w:rFonts w:ascii="Arial Narrow" w:hAnsi="Arial Narrow"/>
          <w:color w:val="auto"/>
          <w:sz w:val="26"/>
          <w:szCs w:val="26"/>
        </w:rPr>
      </w:pPr>
      <w:r>
        <w:rPr>
          <w:rFonts w:ascii="Arial Narrow" w:hAnsi="Arial Narrow"/>
          <w:b w:val="false"/>
          <w:bCs w:val="false"/>
          <w:color w:val="auto"/>
          <w:sz w:val="26"/>
          <w:szCs w:val="26"/>
        </w:rPr>
        <w:t xml:space="preserve">Por otro lado, el acuerdo de aprobación inicial contempla la suspensión de aprobaciones y autorizaciones de esta actividad por un periodo de tres años, si bien, Belén de la Cuadra ha explicado que “esta suspensión no va tener tanta duración porque nuestra intención es aprobarla antes, ya que esta modificación no está sometida a informes sectoriales, por lo cual, su aprobación definitiva sólo dependerá del proceso de exposición pública y de alegaciones”. </w:t>
      </w:r>
    </w:p>
    <w:p>
      <w:pPr>
        <w:pStyle w:val="Normal"/>
        <w:spacing w:before="0" w:after="0"/>
        <w:jc w:val="both"/>
        <w:rPr>
          <w:b w:val="false"/>
          <w:bCs w:val="false"/>
        </w:rPr>
      </w:pPr>
      <w:r>
        <w:rPr>
          <w:b w:val="false"/>
          <w:bCs w:val="false"/>
        </w:rPr>
      </w:r>
    </w:p>
    <w:p>
      <w:pPr>
        <w:pStyle w:val="Normal"/>
        <w:spacing w:before="0" w:after="0"/>
        <w:jc w:val="both"/>
        <w:rPr>
          <w:rFonts w:ascii="Arial Narrow" w:hAnsi="Arial Narrow"/>
          <w:color w:val="auto"/>
          <w:sz w:val="26"/>
          <w:szCs w:val="26"/>
        </w:rPr>
      </w:pPr>
      <w:r>
        <w:rPr>
          <w:rFonts w:ascii="Arial Narrow" w:hAnsi="Arial Narrow"/>
          <w:b/>
          <w:bCs/>
          <w:color w:val="auto"/>
          <w:sz w:val="26"/>
          <w:szCs w:val="26"/>
        </w:rPr>
        <w:t>Otros contenidos de la modificación</w:t>
      </w:r>
    </w:p>
    <w:p>
      <w:pPr>
        <w:pStyle w:val="Normal"/>
        <w:spacing w:before="0" w:after="0"/>
        <w:jc w:val="both"/>
        <w:rPr>
          <w:rFonts w:ascii="Arial Narrow" w:hAnsi="Arial Narrow"/>
          <w:color w:val="auto"/>
          <w:sz w:val="26"/>
          <w:szCs w:val="26"/>
        </w:rPr>
      </w:pPr>
      <w:r>
        <w:rPr>
          <w:rFonts w:ascii="Arial Narrow" w:hAnsi="Arial Narrow"/>
          <w:color w:val="auto"/>
          <w:sz w:val="26"/>
          <w:szCs w:val="26"/>
        </w:rPr>
      </w:r>
    </w:p>
    <w:p>
      <w:pPr>
        <w:pStyle w:val="Western"/>
        <w:jc w:val="both"/>
        <w:rPr>
          <w:rFonts w:ascii="Arial Narrow" w:hAnsi="Arial Narrow"/>
          <w:color w:val="auto"/>
          <w:sz w:val="26"/>
          <w:szCs w:val="26"/>
        </w:rPr>
      </w:pPr>
      <w:r>
        <w:rPr>
          <w:rFonts w:eastAsia="Cambria" w:ascii="Arial Narrow" w:hAnsi="Arial Narrow"/>
          <w:color w:val="auto"/>
          <w:sz w:val="26"/>
          <w:szCs w:val="26"/>
        </w:rPr>
        <w:t xml:space="preserve">Asimismo, la propuesta de modificación del PGOU propone también la regulación de los establecimientos de apartamentos turísticos. Partiendo de la clasificación legal en dos grupos: Edificios/complejos ("edificio de apartamentos turísticos” o </w:t>
      </w:r>
      <w:r>
        <w:rPr>
          <w:rFonts w:eastAsia="Cambria" w:cs="Arial" w:ascii="Arial Narrow" w:hAnsi="Arial Narrow"/>
          <w:color w:val="auto"/>
          <w:sz w:val="26"/>
          <w:szCs w:val="26"/>
        </w:rPr>
        <w:t>‟</w:t>
      </w:r>
      <w:r>
        <w:rPr>
          <w:rFonts w:eastAsia="Cambria" w:ascii="Arial Narrow" w:hAnsi="Arial Narrow"/>
          <w:color w:val="auto"/>
          <w:sz w:val="26"/>
          <w:szCs w:val="26"/>
        </w:rPr>
        <w:t>complejo de apartamentos turísticos”) y Conjuntos, la modificación afectará singularmente a los apartamentos turísticos en la modalidad conjunto en los que se plantean problemas similares a las viviendas de uso turístico desde la perspectiva de la convivencia entre residentes y turistas. En edificios plurifam</w:t>
      </w:r>
      <w:r>
        <w:rPr>
          <w:rFonts w:eastAsia="Cambria" w:ascii="Arial Narrow" w:hAnsi="Arial Narrow"/>
          <w:color w:val="auto"/>
          <w:sz w:val="26"/>
          <w:szCs w:val="26"/>
          <w:u w:val="none"/>
        </w:rPr>
        <w:t>iliares con uso residencial, la modalidad conjunto solo se admitirán en planta baja, siempre que el acceso sea independiente al de las viviendas y s</w:t>
      </w:r>
      <w:r>
        <w:rPr>
          <w:rFonts w:eastAsia="Cambria" w:ascii="Arial Narrow" w:hAnsi="Arial Narrow"/>
          <w:color w:val="auto"/>
          <w:sz w:val="26"/>
          <w:szCs w:val="26"/>
        </w:rPr>
        <w:t>e evite el uso compartido de zonas comunes del edificio. Asimismo, se obligará a que las unidades de alojamiento en esta modalidad tengan las dimensiones y condiciones mínimas exigibles a las viviendas.</w:t>
      </w:r>
    </w:p>
    <w:p>
      <w:pPr>
        <w:pStyle w:val="Normal"/>
        <w:jc w:val="both"/>
        <w:rPr>
          <w:rFonts w:ascii="Arial Narrow" w:hAnsi="Arial Narrow"/>
          <w:color w:val="auto"/>
          <w:sz w:val="26"/>
          <w:szCs w:val="26"/>
        </w:rPr>
      </w:pPr>
      <w:r>
        <w:rPr>
          <w:rFonts w:cs="Liberation Serif;Times New Roma" w:ascii="Arial Narrow" w:hAnsi="Arial Narrow"/>
          <w:color w:val="auto"/>
          <w:sz w:val="26"/>
          <w:szCs w:val="26"/>
        </w:rPr>
        <w:t>Con la aprobación inicial acordada por el Pleno se someterá el expediente al trámite de información pública durante el plazo de veinte días que empezará a contar una vez se publique el anuncio en el Boletín Oficial de la Provincia. Transcurrido el trámite de información pública el Pleno deberá adoptar el acuerdo de aprobación definitiva pronunciándose sobre las alegaciones que se formulen.</w:t>
      </w:r>
    </w:p>
    <w:p>
      <w:pPr>
        <w:pStyle w:val="NormalWeb"/>
        <w:jc w:val="both"/>
        <w:textAlignment w:val="baseline"/>
        <w:rPr>
          <w:rFonts w:ascii="Arial Narrow" w:hAnsi="Arial Narrow"/>
          <w:color w:val="auto"/>
          <w:sz w:val="26"/>
          <w:szCs w:val="26"/>
        </w:rPr>
      </w:pPr>
      <w:r>
        <w:rPr>
          <w:rFonts w:ascii="Arial Narrow" w:hAnsi="Arial Narrow"/>
          <w:b/>
          <w:bCs/>
          <w:color w:val="auto"/>
          <w:sz w:val="26"/>
          <w:szCs w:val="26"/>
        </w:rPr>
        <w:t>Nuevo Centro de Interpretación Enoturístico</w:t>
      </w:r>
    </w:p>
    <w:p>
      <w:pPr>
        <w:pStyle w:val="NormalWeb"/>
        <w:jc w:val="both"/>
        <w:textAlignment w:val="baseline"/>
        <w:rPr>
          <w:rFonts w:ascii="Arial Narrow" w:hAnsi="Arial Narrow"/>
          <w:color w:val="auto"/>
          <w:sz w:val="26"/>
          <w:szCs w:val="26"/>
        </w:rPr>
      </w:pPr>
      <w:r>
        <w:rPr>
          <w:rFonts w:ascii="Arial Narrow" w:hAnsi="Arial Narrow"/>
          <w:color w:val="auto"/>
          <w:sz w:val="26"/>
          <w:szCs w:val="26"/>
        </w:rPr>
        <w:t xml:space="preserve">También en materia urbanística, el Pleno ha aprobado por unanimidad el Proyecto de Actuación de Actividad Extraordinaria en suelo rústico consistente en la instalación de un Centro de Interpretación Enoturístico en la finca Viña Trinidad. </w:t>
      </w:r>
    </w:p>
    <w:p>
      <w:pPr>
        <w:pStyle w:val="NormalWeb"/>
        <w:jc w:val="both"/>
        <w:textAlignment w:val="baseline"/>
        <w:rPr>
          <w:rFonts w:ascii="Arial Narrow" w:hAnsi="Arial Narrow"/>
          <w:color w:val="auto"/>
          <w:sz w:val="26"/>
          <w:szCs w:val="26"/>
        </w:rPr>
      </w:pPr>
      <w:r>
        <w:rPr>
          <w:rFonts w:ascii="Arial Narrow" w:hAnsi="Arial Narrow"/>
          <w:color w:val="auto"/>
          <w:sz w:val="26"/>
          <w:szCs w:val="26"/>
        </w:rPr>
        <w:t xml:space="preserve">Con la aprobación de este Proyecto de Actuación, se da respuesta a la solicitud presentada sus promotores, que aportaron toda la documentación necesaria para su tramitación. Según consta en el proyecto técnico presentado, el objetivo que se pretende es rentabilizar al máximo estas instalaciones y aprovechar las construcciones existentes, para poner en marcha actividades enoturísticas que contribuyan a impulsar el empleo y faciliten el conocimiento de los procesos de transformación, desde su plantación hasta el producto de consumo. </w:t>
      </w:r>
    </w:p>
    <w:p>
      <w:pPr>
        <w:pStyle w:val="NormalWeb"/>
        <w:jc w:val="both"/>
        <w:textAlignment w:val="baseline"/>
        <w:rPr>
          <w:rFonts w:ascii="Arial Narrow" w:hAnsi="Arial Narrow"/>
          <w:color w:val="auto"/>
          <w:sz w:val="26"/>
          <w:szCs w:val="26"/>
        </w:rPr>
      </w:pPr>
      <w:r>
        <w:rPr>
          <w:rFonts w:eastAsia="Calibri" w:cs="Calibri" w:ascii="Arial Narrow" w:hAnsi="Arial Narrow"/>
          <w:color w:val="auto"/>
          <w:sz w:val="26"/>
          <w:szCs w:val="26"/>
        </w:rPr>
        <w:t xml:space="preserve">Estas actividades se desarrollarán tanto en la zona exterior, con recorridos a pie por los cariiles existentes para conocer las labores propias y la experiencia al aire libre de caminar entre los viñedos; como en la interior, tanto en la zona de bodega como en el salón del edificio. </w:t>
      </w:r>
    </w:p>
    <w:p>
      <w:pPr>
        <w:pStyle w:val="NormalWeb"/>
        <w:jc w:val="both"/>
        <w:textAlignment w:val="baseline"/>
        <w:rPr>
          <w:rFonts w:ascii="Arial Narrow" w:hAnsi="Arial Narrow"/>
          <w:color w:val="auto"/>
          <w:sz w:val="26"/>
          <w:szCs w:val="26"/>
        </w:rPr>
      </w:pPr>
      <w:r>
        <w:rPr>
          <w:rFonts w:eastAsia="Calibri" w:cs="Calibri" w:ascii="Arial Narrow" w:hAnsi="Arial Narrow"/>
          <w:b/>
          <w:bCs/>
          <w:color w:val="auto"/>
          <w:sz w:val="26"/>
          <w:szCs w:val="26"/>
        </w:rPr>
        <w:t>Otros asuntos</w:t>
      </w:r>
    </w:p>
    <w:p>
      <w:pPr>
        <w:pStyle w:val="Normal"/>
        <w:jc w:val="both"/>
        <w:rPr>
          <w:rFonts w:ascii="Arial Narrow" w:hAnsi="Arial Narrow"/>
          <w:color w:val="auto"/>
          <w:sz w:val="26"/>
          <w:szCs w:val="26"/>
        </w:rPr>
      </w:pPr>
      <w:r>
        <w:rPr>
          <w:rFonts w:eastAsia="Calibri" w:cs="Calibri" w:ascii="Arial Narrow" w:hAnsi="Arial Narrow"/>
          <w:color w:val="auto"/>
          <w:sz w:val="26"/>
          <w:szCs w:val="26"/>
        </w:rPr>
        <w:t xml:space="preserve">Por otro lado, el Pleno ha aprobado designar como fiestas locales retribuidas y no recuperables para el año 2026  los días el día 24 de septiembre, Festividad de la Patrona de la Ciudad, y el 11 de mayo, lunes de la Feria del Caballo, que tendrá lugar del 9 al 16 de ese mes. Un año más se traslada la Festividad del Patrón del 9 de octubre al lunes de Feria. </w:t>
      </w:r>
    </w:p>
    <w:p>
      <w:pPr>
        <w:pStyle w:val="NormalWeb"/>
        <w:jc w:val="both"/>
        <w:textAlignment w:val="baseline"/>
        <w:rPr>
          <w:rFonts w:ascii="Arial Narrow" w:hAnsi="Arial Narrow"/>
          <w:color w:val="auto"/>
          <w:sz w:val="26"/>
          <w:szCs w:val="26"/>
        </w:rPr>
      </w:pPr>
      <w:r>
        <w:rPr>
          <w:rFonts w:eastAsia="Calibri" w:cs="Calibri" w:ascii="Arial Narrow" w:hAnsi="Arial Narrow"/>
          <w:color w:val="auto"/>
          <w:sz w:val="26"/>
          <w:szCs w:val="26"/>
        </w:rPr>
        <w:t xml:space="preserve">En materia económica, el Pleno ha aprobado la modificación de crédito </w:t>
      </w:r>
      <w:r>
        <w:rPr>
          <w:rFonts w:ascii="Arial Narrow" w:hAnsi="Arial Narrow"/>
          <w:color w:val="auto"/>
          <w:sz w:val="26"/>
          <w:szCs w:val="26"/>
        </w:rPr>
        <w:t>T043/2025 en el Presupuesto municipal, que tiene un importe total de 5.500,00 euros, destinados a la tramitación del pago de la cuota anual de 2025 y la dinamización de un grupo de trabajo de Culture Next.</w:t>
      </w:r>
    </w:p>
    <w:p>
      <w:pPr>
        <w:pStyle w:val="Normal"/>
        <w:spacing w:before="0" w:after="200"/>
        <w:jc w:val="both"/>
        <w:rPr>
          <w:rFonts w:ascii="Arial Narrow" w:hAnsi="Arial Narrow" w:cs="Liberation Serif;Times New Roma"/>
          <w:color w:val="auto"/>
          <w:sz w:val="26"/>
          <w:szCs w:val="26"/>
        </w:rPr>
      </w:pPr>
      <w:r>
        <w:rPr>
          <w:rFonts w:cs="Liberation Serif;Times New Roma" w:ascii="Arial Narrow" w:hAnsi="Arial Narrow"/>
          <w:color w:val="auto"/>
          <w:sz w:val="26"/>
          <w:szCs w:val="26"/>
        </w:rPr>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alibri">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Tahoma">
    <w:charset w:val="00"/>
    <w:family w:val="roman"/>
    <w:pitch w:val="variable"/>
  </w:font>
  <w:font w:name="Consolas">
    <w:charset w:val="00"/>
    <w:family w:val="roman"/>
    <w:pitch w:val="variable"/>
  </w:font>
  <w:font w:name="Univers">
    <w:altName w:val="Arial"/>
    <w:charset w:val="00"/>
    <w:family w:val="roman"/>
    <w:pitch w:val="variable"/>
  </w:font>
  <w:font w:name="CG Times">
    <w:charset w:val="00"/>
    <w:family w:val="roman"/>
    <w:pitch w:val="variable"/>
  </w:font>
  <w:font w:name="Liberation Sans">
    <w:altName w:val="Arial"/>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Heading1">
    <w:name w:val="Heading 1"/>
    <w:basedOn w:val="Normal"/>
    <w:next w:val="Normal"/>
    <w:link w:val="Ttulo1Car"/>
    <w:uiPriority w:val="9"/>
    <w:qFormat/>
    <w:rsid w:val="00c82b3d"/>
    <w:pPr>
      <w:keepNext w:val="true"/>
      <w:keepLines/>
      <w:spacing w:before="240" w:after="0"/>
      <w:outlineLvl w:val="0"/>
    </w:pPr>
    <w:rPr>
      <w:rFonts w:ascii="Arial" w:hAnsi="Arial" w:eastAsia="DejaVu Sans" w:cs="DejaVu Sans" w:asciiTheme="majorHAnsi" w:cstheme="majorBidi" w:eastAsiaTheme="majorEastAsia" w:hAnsiTheme="majorHAnsi"/>
      <w:color w:themeColor="accent1" w:themeShade="bf" w:val="117A02"/>
      <w:sz w:val="32"/>
      <w:szCs w:val="32"/>
    </w:rPr>
  </w:style>
  <w:style w:type="paragraph" w:styleId="Heading2">
    <w:name w:val="Heading 2"/>
    <w:basedOn w:val="Normal"/>
    <w:next w:val="Normal"/>
    <w:link w:val="Ttulo2Car"/>
    <w:uiPriority w:val="9"/>
    <w:unhideWhenUsed/>
    <w:qFormat/>
    <w:rsid w:val="00c82b3d"/>
    <w:pPr>
      <w:keepNext w:val="true"/>
      <w:keepLines/>
      <w:spacing w:before="40" w:after="0"/>
      <w:outlineLvl w:val="1"/>
    </w:pPr>
    <w:rPr>
      <w:rFonts w:ascii="Arial" w:hAnsi="Arial" w:eastAsia="DejaVu Sans" w:cs="DejaVu Sans" w:asciiTheme="majorHAnsi" w:cstheme="majorBidi" w:eastAsiaTheme="majorEastAsia" w:hAnsiTheme="majorHAnsi"/>
      <w:color w:themeColor="accent1" w:themeShade="bf" w:val="117A02"/>
      <w:sz w:val="26"/>
      <w:szCs w:val="26"/>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ipervnculo1" w:customStyle="1">
    <w:name w:val="Hipervínculo1"/>
    <w:qFormat/>
    <w:rPr>
      <w:color w:val="0563C1"/>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Arial" w:hAnsi="Arial" w:eastAsia="DejaVu Sans" w:cs="DejaVu Sans" w:asciiTheme="majorHAnsi" w:cstheme="majorBidi" w:eastAsiaTheme="majorEastAsia" w:hAnsiTheme="majorHAnsi"/>
      <w:color w:themeColor="accent1" w:themeShade="bf" w:val="117A02"/>
      <w:sz w:val="32"/>
      <w:szCs w:val="32"/>
      <w:lang w:eastAsia="en-US"/>
    </w:rPr>
  </w:style>
  <w:style w:type="character" w:styleId="Ttulo2Car" w:customStyle="1">
    <w:name w:val="Título 2 Car"/>
    <w:basedOn w:val="DefaultParagraphFont"/>
    <w:uiPriority w:val="9"/>
    <w:qFormat/>
    <w:rsid w:val="00c82b3d"/>
    <w:rPr>
      <w:rFonts w:ascii="Arial" w:hAnsi="Arial" w:eastAsia="DejaVu Sans" w:cs="DejaVu Sans" w:asciiTheme="majorHAnsi" w:cstheme="majorBidi" w:eastAsiaTheme="majorEastAsia" w:hAnsiTheme="majorHAnsi"/>
      <w:color w:themeColor="accent1" w:themeShade="bf" w:val="117A02"/>
      <w:sz w:val="26"/>
      <w:szCs w:val="26"/>
      <w:lang w:eastAsia="en-US"/>
    </w:rPr>
  </w:style>
  <w:style w:type="character" w:styleId="Fuentedeprrafopredeter18" w:customStyle="1">
    <w:name w:val="Fuente de párrafo predeter.18"/>
    <w:qFormat/>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Emphasis">
    <w:name w:val="Emphasis"/>
    <w:qFormat/>
    <w:rPr>
      <w:i/>
      <w:iCs/>
    </w:rPr>
  </w:style>
  <w:style w:type="character" w:styleId="FollowedHyperlink">
    <w:name w:val="FollowedHyperlink"/>
    <w:rPr>
      <w:color w:val="800080"/>
      <w:u w:val="single"/>
    </w:rPr>
  </w:style>
  <w:style w:type="character" w:styleId="WWCharLFO8LVL9" w:customStyle="1">
    <w:name w:val="WW_CharLFO8LVL9"/>
    <w:qFormat/>
    <w:rPr>
      <w:rFonts w:ascii="OpenSymbol" w:hAnsi="OpenSymbol" w:eastAsia="OpenSymbol" w:cs="OpenSymbol"/>
    </w:rPr>
  </w:style>
  <w:style w:type="character" w:styleId="WWCharLFO8LVL8" w:customStyle="1">
    <w:name w:val="WW_CharLFO8LVL8"/>
    <w:qFormat/>
    <w:rPr>
      <w:rFonts w:ascii="OpenSymbol" w:hAnsi="OpenSymbol" w:eastAsia="OpenSymbol" w:cs="OpenSymbol"/>
    </w:rPr>
  </w:style>
  <w:style w:type="character" w:styleId="WWCharLFO8LVL7" w:customStyle="1">
    <w:name w:val="WW_CharLFO8LVL7"/>
    <w:qFormat/>
    <w:rPr>
      <w:rFonts w:ascii="OpenSymbol" w:hAnsi="OpenSymbol" w:eastAsia="OpenSymbol" w:cs="OpenSymbol"/>
    </w:rPr>
  </w:style>
  <w:style w:type="character" w:styleId="WWCharLFO8LVL6" w:customStyle="1">
    <w:name w:val="WW_CharLFO8LVL6"/>
    <w:qFormat/>
    <w:rPr>
      <w:rFonts w:ascii="OpenSymbol" w:hAnsi="OpenSymbol" w:eastAsia="OpenSymbol" w:cs="OpenSymbol"/>
    </w:rPr>
  </w:style>
  <w:style w:type="character" w:styleId="WWCharLFO8LVL5" w:customStyle="1">
    <w:name w:val="WW_CharLFO8LVL5"/>
    <w:qFormat/>
    <w:rPr>
      <w:rFonts w:ascii="OpenSymbol" w:hAnsi="OpenSymbol" w:eastAsia="OpenSymbol" w:cs="OpenSymbol"/>
    </w:rPr>
  </w:style>
  <w:style w:type="character" w:styleId="WWCharLFO8LVL4" w:customStyle="1">
    <w:name w:val="WW_CharLFO8LVL4"/>
    <w:qFormat/>
    <w:rPr>
      <w:rFonts w:ascii="OpenSymbol" w:hAnsi="OpenSymbol" w:eastAsia="OpenSymbol" w:cs="OpenSymbol"/>
    </w:rPr>
  </w:style>
  <w:style w:type="character" w:styleId="WWCharLFO8LVL3" w:customStyle="1">
    <w:name w:val="WW_CharLFO8LVL3"/>
    <w:qFormat/>
    <w:rPr>
      <w:rFonts w:ascii="OpenSymbol" w:hAnsi="OpenSymbol" w:eastAsia="OpenSymbol" w:cs="OpenSymbol"/>
    </w:rPr>
  </w:style>
  <w:style w:type="character" w:styleId="WWCharLFO8LVL2" w:customStyle="1">
    <w:name w:val="WW_CharLFO8LVL2"/>
    <w:qFormat/>
    <w:rPr>
      <w:rFonts w:ascii="OpenSymbol" w:hAnsi="OpenSymbol" w:eastAsia="OpenSymbol" w:cs="OpenSymbol"/>
    </w:rPr>
  </w:style>
  <w:style w:type="character" w:styleId="WWCharLFO8LVL1" w:customStyle="1">
    <w:name w:val="WW_CharLFO8LVL1"/>
    <w:qFormat/>
    <w:rPr>
      <w:rFonts w:ascii="OpenSymbol" w:hAnsi="OpenSymbol" w:eastAsia="OpenSymbol" w:cs="OpenSymbol"/>
    </w:rPr>
  </w:style>
  <w:style w:type="character" w:styleId="Ninguno" w:customStyle="1">
    <w:name w:val="Ninguno"/>
    <w:qFormat/>
    <w:rPr>
      <w:lang w:val="es-ES_tradnl"/>
    </w:rPr>
  </w:style>
  <w:style w:type="character" w:styleId="Caracteresdenotafinal" w:customStyle="1">
    <w:name w:val="Caracteres de nota final"/>
    <w:qFormat/>
    <w:rPr>
      <w:vertAlign w:val="superscript"/>
    </w:rPr>
  </w:style>
  <w:style w:type="character" w:styleId="EndnoteReference">
    <w:name w:val="Endnote Reference"/>
    <w:rPr>
      <w:vertAlign w:val="superscript"/>
    </w:rPr>
  </w:style>
  <w:style w:type="character" w:styleId="Annotationreference">
    <w:name w:val="annotation reference"/>
    <w:basedOn w:val="DefaultParagraphFont"/>
    <w:qFormat/>
    <w:rPr>
      <w:sz w:val="16"/>
      <w:szCs w:val="16"/>
    </w:rPr>
  </w:style>
  <w:style w:type="character" w:styleId="TextonotapieCar" w:customStyle="1">
    <w:name w:val="Texto nota pie Car"/>
    <w:basedOn w:val="DefaultParagraphFont"/>
    <w:qFormat/>
    <w:rPr>
      <w:sz w:val="20"/>
      <w:szCs w:val="20"/>
    </w:rPr>
  </w:style>
  <w:style w:type="character" w:styleId="Caracteresdenotaalpie" w:customStyle="1">
    <w:name w:val="Caracteres de nota al pie"/>
    <w:qFormat/>
    <w:rPr>
      <w:vertAlign w:val="superscript"/>
    </w:rPr>
  </w:style>
  <w:style w:type="character" w:styleId="FootnoteReference">
    <w:name w:val="Footnote Reference"/>
    <w:rPr>
      <w:vertAlign w:val="superscrip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cs="Times New Roman"/>
      <w:bCs/>
      <w:sz w:val="24"/>
      <w:szCs w:val="24"/>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Ttulo5Car" w:customStyle="1">
    <w:name w:val="Título 5 Car"/>
    <w:basedOn w:val="DefaultParagraphFont"/>
    <w:qFormat/>
    <w:rPr>
      <w:rFonts w:ascii="Calibri" w:hAnsi="Calibri" w:eastAsia="Calibri" w:cs="Calibri"/>
      <w:b/>
      <w:bCs/>
      <w:i/>
      <w:iCs/>
      <w:sz w:val="26"/>
      <w:szCs w:val="26"/>
    </w:rPr>
  </w:style>
  <w:style w:type="character" w:styleId="SinespaciadoCar" w:customStyle="1">
    <w:name w:val="Sin espaciado Car"/>
    <w:basedOn w:val="DefaultParagraphFont"/>
    <w:qFormat/>
    <w:rPr>
      <w:rFonts w:ascii="Times New Roman" w:hAnsi="Times New Roman" w:eastAsia="Times New Roman" w:cs="Times New Roman"/>
      <w:sz w:val="24"/>
      <w:szCs w:val="24"/>
      <w:lang w:val="es-ES" w:bidi="ar-SA"/>
    </w:rPr>
  </w:style>
  <w:style w:type="character" w:styleId="TextosinformatoCar" w:customStyle="1">
    <w:name w:val="Texto sin formato Car"/>
    <w:basedOn w:val="DefaultParagraphFont"/>
    <w:qFormat/>
    <w:rPr>
      <w:rFonts w:ascii="Consolas" w:hAnsi="Consolas" w:eastAsia="Calibri" w:cs="Times New Roman"/>
      <w:sz w:val="21"/>
      <w:szCs w:val="21"/>
    </w:rPr>
  </w:style>
  <w:style w:type="character" w:styleId="Sangra2detindependienteCar" w:customStyle="1">
    <w:name w:val="Sangría 2 de t. independiente Car"/>
    <w:basedOn w:val="DefaultParagraphFont"/>
    <w:qFormat/>
    <w:rPr>
      <w:rFonts w:ascii="Univers;Arial" w:hAnsi="Univers;Arial" w:eastAsia="Times New Roman" w:cs="Univers;Arial"/>
      <w:spacing w:val="0"/>
      <w:sz w:val="24"/>
      <w:lang w:val="es-ES"/>
    </w:rPr>
  </w:style>
  <w:style w:type="character" w:styleId="TtuloCar" w:customStyle="1">
    <w:name w:val="Título Car"/>
    <w:qFormat/>
    <w:rPr>
      <w:rFonts w:ascii="CG Times" w:hAnsi="CG Times" w:eastAsia="Times New Roman" w:cs="CG Times"/>
      <w:sz w:val="24"/>
    </w:rPr>
  </w:style>
  <w:style w:type="character" w:styleId="Bolos" w:customStyle="1">
    <w:name w:val="Bolos"/>
    <w:qFormat/>
    <w:rPr>
      <w:rFonts w:ascii="OpenSymbol;Arial Unicode MS" w:hAnsi="OpenSymbol;Arial Unicode MS" w:eastAsia="OpenSymbol;Arial Unicode MS" w:cs="OpenSymbol;Arial Unicode MS"/>
    </w:rPr>
  </w:style>
  <w:style w:type="character" w:styleId="Hyperlink">
    <w:name w:val="Hyperlink"/>
    <w:rPr>
      <w:color w:val="0000FF"/>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Caption111" w:customStyle="1">
    <w:name w:val="caption1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qFormat/>
    <w:pPr/>
    <w:rPr>
      <w:rFonts w:ascii="Tahoma" w:hAnsi="Tahoma" w:cs="Tahoma"/>
      <w:sz w:val="16"/>
      <w:szCs w:val="16"/>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Contenidodelmarco" w:customStyle="1">
    <w:name w:val="Contenido del marco"/>
    <w:basedOn w:val="Normal"/>
    <w:qFormat/>
    <w:pPr/>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BodyTextIndent">
    <w:name w:val="Body Text Indent"/>
    <w:basedOn w:val="Normal"/>
    <w:pPr>
      <w:ind w:left="540"/>
    </w:pPr>
    <w:rPr>
      <w:rFonts w:ascii="Arial" w:hAnsi="Arial" w:cs="Arial"/>
      <w:b/>
      <w:bCs/>
      <w:sz w:val="40"/>
      <w:lang w:val="en-US"/>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13" w:customStyle="1">
    <w:name w:val="caption1113"/>
    <w:basedOn w:val="Normal"/>
    <w:qFormat/>
    <w:pPr>
      <w:suppressLineNumbers/>
      <w:spacing w:before="120" w:after="120"/>
    </w:pPr>
    <w:rPr>
      <w:rFonts w:cs="Arial"/>
      <w:i/>
      <w:iCs/>
    </w:rPr>
  </w:style>
  <w:style w:type="paragraph" w:styleId="Caption11113" w:customStyle="1">
    <w:name w:val="caption11113"/>
    <w:basedOn w:val="Normal"/>
    <w:qFormat/>
    <w:pPr>
      <w:suppressLineNumbers/>
      <w:spacing w:before="120" w:after="120"/>
    </w:pPr>
    <w:rPr>
      <w:rFonts w:cs="Arial"/>
      <w:i/>
      <w:iCs/>
    </w:rPr>
  </w:style>
  <w:style w:type="paragraph" w:styleId="Caption111113" w:customStyle="1">
    <w:name w:val="caption111113"/>
    <w:basedOn w:val="Normal"/>
    <w:qFormat/>
    <w:pPr>
      <w:spacing w:before="120" w:after="120"/>
    </w:pPr>
    <w:rPr>
      <w:i/>
      <w:iCs/>
    </w:rPr>
  </w:style>
  <w:style w:type="paragraph" w:styleId="Caption111112" w:customStyle="1">
    <w:name w:val="Caption111112"/>
    <w:basedOn w:val="Normal"/>
    <w:qFormat/>
    <w:pPr>
      <w:suppressLineNumbers/>
      <w:spacing w:before="120" w:after="120"/>
    </w:pPr>
    <w:rPr>
      <w:rFonts w:cs="Arial"/>
      <w:i/>
      <w:iCs/>
    </w:rPr>
  </w:style>
  <w:style w:type="paragraph" w:styleId="Caption11112" w:customStyle="1">
    <w:name w:val="Caption11112"/>
    <w:basedOn w:val="Normal"/>
    <w:qFormat/>
    <w:pPr>
      <w:suppressLineNumbers/>
      <w:spacing w:before="120" w:after="120"/>
    </w:pPr>
    <w:rPr>
      <w:rFonts w:cs="Arial"/>
      <w:i/>
      <w:iCs/>
    </w:rPr>
  </w:style>
  <w:style w:type="paragraph" w:styleId="Caption1112" w:customStyle="1">
    <w:name w:val="Caption1112"/>
    <w:basedOn w:val="Normal"/>
    <w:qFormat/>
    <w:pPr>
      <w:suppressLineNumbers/>
      <w:spacing w:before="120" w:after="120"/>
    </w:pPr>
    <w:rPr>
      <w:rFonts w:cs="Arial"/>
      <w:i/>
      <w:iCs/>
    </w:rPr>
  </w:style>
  <w:style w:type="paragraph" w:styleId="Poromisin" w:customStyle="1">
    <w:name w:val="Por omisión"/>
    <w:qFormat/>
    <w:pPr>
      <w:widowControl/>
      <w:suppressAutoHyphens w:val="true"/>
      <w:bidi w:val="0"/>
      <w:spacing w:lineRule="auto" w:line="288" w:before="160" w:after="0"/>
      <w:jc w:val="left"/>
    </w:pPr>
    <w:rPr>
      <w:rFonts w:ascii="Helvetica Neue" w:hAnsi="Helvetica Neue" w:eastAsia="Times New Roman" w:cs="Arial Unicode MS"/>
      <w:color w:val="000000"/>
      <w:kern w:val="0"/>
      <w:sz w:val="24"/>
      <w:szCs w:val="24"/>
      <w:lang w:val="es-ES_tradnl" w:eastAsia="es-ES_tradnl" w:bidi="ar-SA"/>
    </w:rPr>
  </w:style>
  <w:style w:type="paragraph" w:styleId="Textoindependiente22" w:customStyle="1">
    <w:name w:val="Texto independiente 22"/>
    <w:basedOn w:val="Normal"/>
    <w:qFormat/>
    <w:pPr>
      <w:jc w:val="center"/>
    </w:pPr>
    <w:rPr>
      <w:rFonts w:ascii="Arial" w:hAnsi="Arial" w:cs="Arial"/>
      <w:color w:val="000000"/>
      <w:kern w:val="2"/>
      <w:sz w:val="20"/>
      <w:lang w:eastAsia="zh-CN"/>
    </w:rPr>
  </w:style>
  <w:style w:type="paragraph" w:styleId="BodyText2">
    <w:name w:val="Body Text 2"/>
    <w:basedOn w:val="Normal"/>
    <w:qFormat/>
    <w:pPr>
      <w:jc w:val="center"/>
    </w:pPr>
    <w:rPr>
      <w:rFonts w:ascii="Arial" w:hAnsi="Arial"/>
    </w:rPr>
  </w:style>
  <w:style w:type="paragraph" w:styleId="BodyText3">
    <w:name w:val="Body Text 3"/>
    <w:basedOn w:val="Normal"/>
    <w:qFormat/>
    <w:pPr>
      <w:spacing w:before="0" w:after="120"/>
    </w:pPr>
    <w:rPr>
      <w:sz w:val="16"/>
      <w:szCs w:val="16"/>
    </w:rPr>
  </w:style>
  <w:style w:type="paragraph" w:styleId="Normal11" w:customStyle="1">
    <w:name w:val="Normal1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FootnoteText">
    <w:name w:val="Footnote Text"/>
    <w:basedOn w:val="Normal"/>
    <w:pPr>
      <w:spacing w:before="0" w:after="0"/>
    </w:pPr>
    <w:rPr>
      <w:sz w:val="20"/>
      <w:szCs w:val="20"/>
    </w:rPr>
  </w:style>
  <w:style w:type="paragraph" w:styleId="Caption3" w:customStyle="1">
    <w:name w:val="caption3"/>
    <w:basedOn w:val="Normal"/>
    <w:qFormat/>
    <w:pPr>
      <w:suppressLineNumbers/>
      <w:spacing w:before="120" w:after="120"/>
    </w:pPr>
    <w:rPr>
      <w:rFonts w:cs="Mangal"/>
      <w:i/>
      <w:iCs/>
    </w:rPr>
  </w:style>
  <w:style w:type="paragraph" w:styleId="Encabezado5" w:customStyle="1">
    <w:name w:val="Encabezado 5"/>
    <w:basedOn w:val="Normal"/>
    <w:qFormat/>
    <w:pPr>
      <w:spacing w:before="240" w:after="60"/>
      <w:outlineLvl w:val="4"/>
    </w:pPr>
    <w:rPr>
      <w:b/>
      <w:bCs/>
      <w:i/>
      <w:iCs/>
      <w:sz w:val="26"/>
      <w:szCs w:val="26"/>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BodyTextIndent2">
    <w:name w:val="Body Text Indent 2"/>
    <w:basedOn w:val="Normal"/>
    <w:qFormat/>
    <w:pPr>
      <w:tabs>
        <w:tab w:val="clear" w:pos="708"/>
        <w:tab w:val="left" w:pos="0" w:leader="none"/>
      </w:tabs>
      <w:ind w:hanging="142" w:left="851"/>
      <w:jc w:val="both"/>
    </w:pPr>
    <w:rPr>
      <w:rFonts w:ascii="Univers;Arial" w:hAnsi="Univers;Arial" w:eastAsia="Times New Roman" w:cs="Univers;Arial"/>
      <w:szCs w:val="20"/>
    </w:rPr>
  </w:style>
  <w:style w:type="paragraph" w:styleId="Lneahorizontal" w:customStyle="1">
    <w:name w:val="Línea horizontal"/>
    <w:basedOn w:val="Normal"/>
    <w:next w:val="BodyText"/>
    <w:qFormat/>
    <w:pPr>
      <w:suppressLineNumbers/>
      <w:pBdr>
        <w:bottom w:val="double" w:sz="2" w:space="0" w:color="808080"/>
      </w:pBdr>
      <w:spacing w:before="0" w:after="283"/>
    </w:pPr>
    <w:rPr>
      <w:sz w:val="12"/>
      <w:szCs w:val="12"/>
    </w:rPr>
  </w:style>
  <w:style w:type="paragraph" w:styleId="Citaenbloque" w:customStyle="1">
    <w:name w:val="Cita en bloque"/>
    <w:basedOn w:val="Normal"/>
    <w:qFormat/>
    <w:pPr>
      <w:spacing w:before="0" w:after="283"/>
      <w:ind w:left="567" w:right="567"/>
    </w:pPr>
    <w:rPr/>
  </w:style>
  <w:style w:type="paragraph" w:styleId="Caption2" w:customStyle="1">
    <w:name w:val="Caption2"/>
    <w:basedOn w:val="Normal"/>
    <w:qFormat/>
    <w:pPr>
      <w:suppressLineNumbers/>
      <w:spacing w:before="120" w:after="120"/>
    </w:pPr>
    <w:rPr>
      <w:rFonts w:cs="Arial"/>
      <w:i/>
      <w:iCs/>
    </w:rPr>
  </w:style>
  <w:style w:type="paragraph" w:styleId="Caption13" w:customStyle="1">
    <w:name w:val="Caption13"/>
    <w:basedOn w:val="Normal"/>
    <w:qFormat/>
    <w:pPr>
      <w:suppressLineNumbers/>
      <w:spacing w:before="120" w:after="120"/>
    </w:pPr>
    <w:rPr>
      <w:rFonts w:cs="Arial"/>
      <w:i/>
      <w:iCs/>
    </w:rPr>
  </w:style>
  <w:style w:type="paragraph" w:styleId="Caption112" w:customStyle="1">
    <w:name w:val="Caption112"/>
    <w:basedOn w:val="Normal"/>
    <w:qFormat/>
    <w:pPr>
      <w:suppressLineNumbers/>
      <w:spacing w:before="120" w:after="120"/>
    </w:pPr>
    <w:rPr>
      <w:rFonts w:cs="Arial"/>
      <w:i/>
      <w:iCs/>
    </w:rPr>
  </w:style>
  <w:style w:type="paragraph" w:styleId="Caption11111" w:customStyle="1">
    <w:name w:val="Caption11111"/>
    <w:basedOn w:val="Normal"/>
    <w:qFormat/>
    <w:pPr>
      <w:suppressLineNumbers/>
      <w:spacing w:before="120" w:after="120"/>
    </w:pPr>
    <w:rPr>
      <w:rFonts w:cs="Arial"/>
      <w:i/>
      <w:iCs/>
    </w:rPr>
  </w:style>
  <w:style w:type="paragraph" w:styleId="Caption111111" w:customStyle="1">
    <w:name w:val="Caption111111"/>
    <w:basedOn w:val="Normal"/>
    <w:qFormat/>
    <w:pPr>
      <w:suppressLineNumbers/>
      <w:spacing w:before="120" w:after="120"/>
    </w:pPr>
    <w:rPr>
      <w:rFonts w:cs="Arial"/>
      <w:i/>
      <w:iCs/>
    </w:rPr>
  </w:style>
  <w:style w:type="paragraph" w:styleId="Caption1111111" w:customStyle="1">
    <w:name w:val="Caption1111111"/>
    <w:basedOn w:val="Normal"/>
    <w:qFormat/>
    <w:pPr>
      <w:suppressLineNumbers/>
      <w:spacing w:before="120" w:after="120"/>
    </w:pPr>
    <w:rPr>
      <w:rFonts w:cs="Arial"/>
      <w:i/>
      <w:iCs/>
    </w:rPr>
  </w:style>
  <w:style w:type="paragraph" w:styleId="Caption11111111" w:customStyle="1">
    <w:name w:val="Caption11111111"/>
    <w:basedOn w:val="Normal"/>
    <w:qFormat/>
    <w:pPr>
      <w:suppressLineNumbers/>
      <w:spacing w:before="120" w:after="120"/>
    </w:pPr>
    <w:rPr>
      <w:rFonts w:cs="Mangal"/>
      <w:i/>
      <w:iCs/>
    </w:rPr>
  </w:style>
  <w:style w:type="paragraph" w:styleId="ListParagraph">
    <w:name w:val="List Paragraph"/>
    <w:basedOn w:val="Normal"/>
    <w:qFormat/>
    <w:pPr>
      <w:spacing w:before="0" w:after="160"/>
      <w:ind w:left="720"/>
      <w:contextualSpacing/>
    </w:pPr>
    <w:rPr/>
  </w:style>
  <w:style w:type="paragraph" w:styleId="Standard1" w:customStyle="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PlainText">
    <w:name w:val="Plain Text"/>
    <w:basedOn w:val="Normal"/>
    <w:qFormat/>
    <w:pPr/>
    <w:rPr>
      <w:rFonts w:ascii="Consolas" w:hAnsi="Consolas" w:eastAsia="Calibri" w:cs="Consolas"/>
      <w:sz w:val="21"/>
      <w:szCs w:val="21"/>
    </w:rPr>
  </w:style>
  <w:style w:type="paragraph" w:styleId="Normal1" w:customStyle="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Encabezado21" w:customStyle="1">
    <w:name w:val="Encabezado 2"/>
    <w:basedOn w:val="Normal"/>
    <w:next w:val="Normal"/>
    <w:qFormat/>
    <w:pPr>
      <w:keepNext w:val="true"/>
      <w:ind w:firstLine="709"/>
      <w:outlineLvl w:val="1"/>
    </w:pPr>
    <w:rPr>
      <w:b/>
    </w:rPr>
  </w:style>
  <w:style w:type="numbering" w:styleId="NoList" w:default="1">
    <w:name w:val="No List"/>
    <w:uiPriority w:val="99"/>
    <w:semiHidden/>
    <w:unhideWhenUsed/>
    <w:qFormat/>
  </w:style>
  <w:style w:type="numbering" w:styleId="Ningunalista" w:customStyle="1">
    <w:name w:val="Ninguna lista"/>
    <w:qFormat/>
  </w:style>
  <w:style w:type="numbering" w:styleId="WW8Num1" w:customStyle="1">
    <w:name w:val="WW8Num1"/>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55</TotalTime>
  <Application>LibreOffice/7.6.7.2$Windows_X86_64 LibreOffice_project/dd47e4b30cb7dab30588d6c79c651f218165e3c5</Application>
  <AppVersion>15.0000</AppVersion>
  <Pages>3</Pages>
  <Words>1050</Words>
  <Characters>5460</Characters>
  <CharactersWithSpaces>6505</CharactersWithSpaces>
  <Paragraphs>20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2025-06-26T06:17:00Z</dcterms:created>
  <dc:creator>José María Vega Soto</dc:creator>
  <dc:description/>
  <dc:language>es-ES</dc:language>
  <cp:lastModifiedBy/>
  <cp:lastPrinted>2025-06-26T11:28:00Z</cp:lastPrinted>
  <dcterms:modified xsi:type="dcterms:W3CDTF">2025-06-27T10:09:43Z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