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A01" w:rsidRDefault="006A35FE">
      <w:pPr>
        <w:spacing w:beforeAutospacing="1" w:afterAutospacing="1"/>
        <w:ind w:right="-144"/>
        <w:rPr>
          <w:rFonts w:ascii="Arial Narrow" w:eastAsia="Times New Roman" w:hAnsi="Arial Narrow"/>
          <w:b/>
          <w:bCs/>
          <w:sz w:val="40"/>
          <w:szCs w:val="40"/>
          <w:lang w:eastAsia="es-ES"/>
        </w:rPr>
      </w:pPr>
      <w:r>
        <w:rPr>
          <w:rFonts w:ascii="Arial Narrow" w:eastAsia="Times New Roman" w:hAnsi="Arial Narrow"/>
          <w:b/>
          <w:bCs/>
          <w:sz w:val="40"/>
          <w:szCs w:val="40"/>
          <w:lang w:eastAsia="es-ES"/>
        </w:rPr>
        <w:t>Avances para el monumento a Parrilla de Jerez con la formalización de la comisión, presidida por la Hermandad del Cristo de la Expiración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sz w:val="26"/>
          <w:szCs w:val="26"/>
          <w:lang w:eastAsia="es-ES"/>
        </w:rPr>
        <w:t>3 de julio de 2025.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El delegado de Cultura, Fiestas, Patrimonio Histórico y Capitalidad Europea de la Cultura, Francisco Zurita, ha mantenido una reunión de trabajo </w:t>
      </w:r>
      <w:bookmarkStart w:id="0" w:name="_GoBack"/>
      <w:bookmarkEnd w:id="0"/>
      <w:r>
        <w:rPr>
          <w:rFonts w:ascii="Arial Narrow" w:eastAsia="Times New Roman" w:hAnsi="Arial Narrow"/>
          <w:sz w:val="26"/>
          <w:szCs w:val="26"/>
          <w:lang w:eastAsia="es-ES"/>
        </w:rPr>
        <w:t xml:space="preserve">en el Palacio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Villapanés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, centrada en el impulso al monumento en homenaje a la figura de </w:t>
      </w:r>
      <w:r>
        <w:rPr>
          <w:rFonts w:ascii="Arial Narrow" w:eastAsia="Times New Roman" w:hAnsi="Arial Narrow"/>
          <w:iCs/>
          <w:sz w:val="26"/>
          <w:szCs w:val="26"/>
          <w:lang w:eastAsia="es-ES"/>
        </w:rPr>
        <w:t xml:space="preserve">Parrilla </w:t>
      </w:r>
      <w:r>
        <w:rPr>
          <w:rFonts w:ascii="Arial Narrow" w:eastAsia="Times New Roman" w:hAnsi="Arial Narrow"/>
          <w:iCs/>
          <w:sz w:val="26"/>
          <w:szCs w:val="26"/>
          <w:lang w:eastAsia="es-ES"/>
        </w:rPr>
        <w:t>de Jerez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guitarrista fundamental en la historia del flamenco. Este encuentro da continuidad al trabajo que se viene desarrollando desde hace meses con distintas entidades culturales vinculadas a la trayectoria de Parrilla, y ha servido para formalizar la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configuración de la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comisión para su monumento</w:t>
      </w:r>
      <w:r>
        <w:rPr>
          <w:rFonts w:ascii="Arial Narrow" w:eastAsia="Times New Roman" w:hAnsi="Arial Narrow"/>
          <w:sz w:val="26"/>
          <w:szCs w:val="26"/>
          <w:lang w:eastAsia="es-ES"/>
        </w:rPr>
        <w:t>, iniciativa respalda por el movimiento ciudadano, cultural y artístico.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De este modo dicha comisión queda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presidida por la Hermandad del Cristo de la Expiración</w:t>
      </w:r>
      <w:r>
        <w:rPr>
          <w:rFonts w:ascii="Arial Narrow" w:eastAsia="Times New Roman" w:hAnsi="Arial Narrow"/>
          <w:sz w:val="26"/>
          <w:szCs w:val="26"/>
          <w:lang w:eastAsia="es-ES"/>
        </w:rPr>
        <w:t>, en la figura de su hermano mayor, Jesús Rodrígu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ez, al igual que la secretaría, representada por Sebastián Romero. Además, este órgano estará integrado por representantes de la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Cátedra de Flamencología y Estudios Folklóricos de Jerez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la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Federación Local de Peñas Flamencas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miembros de la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familia del ar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tista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así como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 xml:space="preserve">representantes de medios,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de la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Unión de Hermandades de Jerez</w:t>
      </w:r>
      <w:r>
        <w:rPr>
          <w:rFonts w:ascii="Arial Narrow" w:eastAsia="Times New Roman" w:hAnsi="Arial Narrow"/>
          <w:sz w:val="26"/>
          <w:szCs w:val="26"/>
          <w:lang w:eastAsia="es-ES"/>
        </w:rPr>
        <w:t>, y Juan Salido, experto en el mundo del flamenco, actual presidente de la Real Academia San Dionisio.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Francisco Zurita ha destacado “la importancia de este paso para consolidar e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l proyecto en torno a una figura como Parrilla de Jerez, cuya trayectoria artística y vinculación con las raíces más </w:t>
      </w:r>
      <w:proofErr w:type="gramStart"/>
      <w:r>
        <w:rPr>
          <w:rFonts w:ascii="Arial Narrow" w:eastAsia="Times New Roman" w:hAnsi="Arial Narrow"/>
          <w:sz w:val="26"/>
          <w:szCs w:val="26"/>
          <w:lang w:eastAsia="es-ES"/>
        </w:rPr>
        <w:t>profundas</w:t>
      </w:r>
      <w:proofErr w:type="gram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del flamenco jerezano merecen este reconocimiento público y permanente".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Cabe recordar que, además de haber sido un guitarrista d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e técnica magistral y virtuosismo indiscutible,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Parrilla de Jerez representa el peso del legado familiar en el arte flamenco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siendo heredero de grandes figuras como su padre,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Tío Parrilla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su abuelo </w:t>
      </w:r>
      <w:proofErr w:type="spellStart"/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Juanichi</w:t>
      </w:r>
      <w:proofErr w:type="spellEnd"/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 xml:space="preserve"> el Manijero</w:t>
      </w:r>
      <w:r>
        <w:rPr>
          <w:rFonts w:ascii="Arial Narrow" w:eastAsia="Times New Roman" w:hAnsi="Arial Narrow"/>
          <w:sz w:val="26"/>
          <w:szCs w:val="26"/>
          <w:lang w:eastAsia="es-ES"/>
        </w:rPr>
        <w:t>, y colaborador habitual de artistas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como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Terremoto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Borrico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o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Sernita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. También se vincula con la rama artística de los Molina. 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A lo largo de su extensa carrera, Parrilla dejó momentos memorables junto a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 xml:space="preserve">La </w:t>
      </w:r>
      <w:proofErr w:type="spellStart"/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Paquera</w:t>
      </w:r>
      <w:proofErr w:type="spellEnd"/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 xml:space="preserve"> de Jerez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y también compartió escenario con leyendas como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Antonio Mairena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,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M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anuel Agujetas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y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 xml:space="preserve">Enrique </w:t>
      </w:r>
      <w:proofErr w:type="spellStart"/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Morente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. Su papel fue igualmente fundamental en la recuperación de las tradiciones navideñas flamencas, a través de la emblemática serie </w:t>
      </w:r>
      <w:r>
        <w:rPr>
          <w:rFonts w:ascii="Arial Narrow" w:eastAsia="Times New Roman" w:hAnsi="Arial Narrow"/>
          <w:i/>
          <w:iCs/>
          <w:sz w:val="26"/>
          <w:szCs w:val="26"/>
          <w:lang w:eastAsia="es-ES"/>
        </w:rPr>
        <w:t>Así Canta Nuestra Tierra en Navidad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. Entre los reconocimientos a su trayectoria destaca el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Pre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mio Nacional de Guitarra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otorgado por la Cátedra de Flamencología.</w:t>
      </w:r>
    </w:p>
    <w:p w:rsidR="00527A01" w:rsidRDefault="006A35FE">
      <w:pPr>
        <w:spacing w:beforeAutospacing="1" w:afterAutospacing="1"/>
        <w:ind w:right="-144"/>
        <w:jc w:val="both"/>
        <w:rPr>
          <w:rFonts w:ascii="Arial Narrow" w:eastAsia="Times New Roman" w:hAnsi="Arial Narrow"/>
          <w:color w:val="auto"/>
          <w:sz w:val="28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(Se adjunta fotografía)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 xml:space="preserve"> </w:t>
      </w:r>
    </w:p>
    <w:sectPr w:rsidR="0052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35FE">
      <w:pPr>
        <w:spacing w:after="0"/>
      </w:pPr>
      <w:r>
        <w:separator/>
      </w:r>
    </w:p>
  </w:endnote>
  <w:endnote w:type="continuationSeparator" w:id="0">
    <w:p w:rsidR="00000000" w:rsidRDefault="006A3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527A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527A0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527A0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35FE">
      <w:pPr>
        <w:spacing w:after="0"/>
      </w:pPr>
      <w:r>
        <w:separator/>
      </w:r>
    </w:p>
  </w:footnote>
  <w:footnote w:type="continuationSeparator" w:id="0">
    <w:p w:rsidR="00000000" w:rsidRDefault="006A35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527A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6A35F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A01" w:rsidRDefault="006A35FE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01" w:rsidRDefault="006A35F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A01" w:rsidRDefault="006A35FE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1"/>
    <w:rsid w:val="00527A01"/>
    <w:rsid w:val="006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8A217-535A-43BB-987D-412BAD2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Destaquemayor">
    <w:name w:val="Destaque mayor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customStyle="1" w:styleId="Destacado">
    <w:name w:val="Destacado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BC29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34CD-C909-4347-91AA-61E15A97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Company>ayto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cp:lastPrinted>2025-06-27T11:15:00Z</cp:lastPrinted>
  <dcterms:created xsi:type="dcterms:W3CDTF">2025-06-28T10:49:00Z</dcterms:created>
  <dcterms:modified xsi:type="dcterms:W3CDTF">2025-07-03T10:15:00Z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