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6" w:rsidRDefault="00106EC6"/>
    <w:p w:rsidR="00106EC6" w:rsidRDefault="00A660A8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pondrá de nuevo en funcionamiento las instalaciones que ocupaba el Spa Club de Jerez</w:t>
      </w:r>
    </w:p>
    <w:p w:rsidR="00106EC6" w:rsidRDefault="00106EC6">
      <w:pPr>
        <w:rPr>
          <w:rFonts w:ascii="Arial Narrow" w:hAnsi="Arial Narrow"/>
          <w:b/>
          <w:sz w:val="40"/>
          <w:szCs w:val="40"/>
        </w:rPr>
      </w:pPr>
    </w:p>
    <w:p w:rsidR="00106EC6" w:rsidRDefault="00A660A8">
      <w:pPr>
        <w:rPr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La Junta de Gobierno Local acepta la oferta de una empresa para la concesión administrativa de estas instalaciones, que se encuentran abandonadas desde </w:t>
      </w:r>
      <w:r>
        <w:rPr>
          <w:rFonts w:ascii="Arial Narrow" w:hAnsi="Arial Narrow"/>
          <w:sz w:val="32"/>
          <w:szCs w:val="32"/>
        </w:rPr>
        <w:t>hace más de una década</w:t>
      </w:r>
    </w:p>
    <w:p w:rsidR="00106EC6" w:rsidRDefault="00106EC6"/>
    <w:p w:rsidR="00106EC6" w:rsidRDefault="00A660A8">
      <w:pPr>
        <w:jc w:val="both"/>
      </w:pPr>
      <w:r>
        <w:rPr>
          <w:rFonts w:ascii="Arial Narrow" w:hAnsi="Arial Narrow"/>
          <w:b/>
          <w:sz w:val="26"/>
          <w:szCs w:val="26"/>
        </w:rPr>
        <w:t>15</w:t>
      </w:r>
      <w:bookmarkStart w:id="0" w:name="_GoBack"/>
      <w:bookmarkEnd w:id="0"/>
      <w:r>
        <w:rPr>
          <w:rFonts w:ascii="Arial Narrow" w:hAnsi="Arial Narrow"/>
          <w:b/>
          <w:sz w:val="26"/>
          <w:szCs w:val="26"/>
        </w:rPr>
        <w:t xml:space="preserve"> de agosto de 2025</w:t>
      </w:r>
      <w:r>
        <w:rPr>
          <w:rFonts w:ascii="Arial Narrow" w:hAnsi="Arial Narrow"/>
          <w:sz w:val="26"/>
          <w:szCs w:val="26"/>
        </w:rPr>
        <w:t xml:space="preserve">. La Junta de Gobierno Local ha dado luz verde a la propuesta de adjudicación </w:t>
      </w:r>
      <w:r>
        <w:rPr>
          <w:rFonts w:ascii="Arial Narrow" w:hAnsi="Arial Narrow"/>
          <w:color w:val="000009"/>
          <w:sz w:val="26"/>
          <w:szCs w:val="26"/>
        </w:rPr>
        <w:t xml:space="preserve">a la empresa Clínica </w:t>
      </w:r>
      <w:proofErr w:type="spellStart"/>
      <w:r>
        <w:rPr>
          <w:rFonts w:ascii="Arial Narrow" w:hAnsi="Arial Narrow"/>
          <w:color w:val="000009"/>
          <w:sz w:val="26"/>
          <w:szCs w:val="26"/>
        </w:rPr>
        <w:t>Mediland</w:t>
      </w:r>
      <w:proofErr w:type="spellEnd"/>
      <w:r>
        <w:rPr>
          <w:rFonts w:ascii="Arial Narrow" w:hAnsi="Arial Narrow"/>
          <w:color w:val="000009"/>
          <w:sz w:val="26"/>
          <w:szCs w:val="26"/>
        </w:rPr>
        <w:t xml:space="preserve"> S.L. para la ocupación y explotación 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de las instalaciones, de titularidad municipal, donde anteriormente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 se ubicaba el complejo sanitario Spa Club de Jerez, que están abandonadas desde hace aproximadamente una década, y que el Gobierno local pretende poner nuevamente en funcionamiento para uso sanitario a través de esta licitación pública. Igualmente, se ha 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aprobado requerir a esta empresa la entrega de la documentación reglamentaria como paso previo a la adjudicación definitiva de la concesión administrativa. </w:t>
      </w:r>
    </w:p>
    <w:p w:rsidR="00106EC6" w:rsidRDefault="00106EC6">
      <w:pPr>
        <w:jc w:val="both"/>
        <w:rPr>
          <w:rFonts w:ascii="Arial Narrow" w:hAnsi="Arial Narrow" w:cs="Century Gothic"/>
          <w:color w:val="000000"/>
          <w:spacing w:val="-3"/>
          <w:sz w:val="26"/>
          <w:szCs w:val="26"/>
        </w:rPr>
      </w:pPr>
    </w:p>
    <w:p w:rsidR="00106EC6" w:rsidRDefault="00A660A8">
      <w:pPr>
        <w:jc w:val="both"/>
      </w:pP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>Este edificio, situado en la avenida Puertas del Sur, lleva años cerrado y,</w:t>
      </w:r>
      <w:r>
        <w:rPr>
          <w:rFonts w:ascii="Arial Narrow" w:hAnsi="Arial Narrow"/>
          <w:sz w:val="26"/>
          <w:szCs w:val="26"/>
        </w:rPr>
        <w:t xml:space="preserve"> debido principalmente </w:t>
      </w:r>
      <w:r>
        <w:rPr>
          <w:rFonts w:ascii="Arial Narrow" w:hAnsi="Arial Narrow"/>
          <w:sz w:val="26"/>
          <w:szCs w:val="26"/>
        </w:rPr>
        <w:t xml:space="preserve">a la falta de actividad y a los actos vandálicos de los que fue objeto, se fue deteriorando y actualmente presenta numerosos desperfectos puntuales en puertas, </w:t>
      </w:r>
      <w:proofErr w:type="gramStart"/>
      <w:r>
        <w:rPr>
          <w:rFonts w:ascii="Arial Narrow" w:hAnsi="Arial Narrow"/>
          <w:sz w:val="26"/>
          <w:szCs w:val="26"/>
        </w:rPr>
        <w:t>revestimientos</w:t>
      </w:r>
      <w:proofErr w:type="gramEnd"/>
      <w:r>
        <w:rPr>
          <w:rFonts w:ascii="Arial Narrow" w:hAnsi="Arial Narrow"/>
          <w:sz w:val="26"/>
          <w:szCs w:val="26"/>
        </w:rPr>
        <w:t xml:space="preserve">, escaleras y zonas exteriores, roturas de cristales y en elementos de fontanería </w:t>
      </w:r>
      <w:r>
        <w:rPr>
          <w:rFonts w:ascii="Arial Narrow" w:hAnsi="Arial Narrow"/>
          <w:sz w:val="26"/>
          <w:szCs w:val="26"/>
        </w:rPr>
        <w:t xml:space="preserve">y servicios eléctricos. </w:t>
      </w:r>
    </w:p>
    <w:p w:rsidR="00106EC6" w:rsidRDefault="00106EC6">
      <w:pPr>
        <w:pStyle w:val="western"/>
        <w:jc w:val="both"/>
        <w:rPr>
          <w:rFonts w:ascii="Arial Narrow" w:hAnsi="Arial Narrow"/>
          <w:sz w:val="26"/>
          <w:szCs w:val="26"/>
        </w:rPr>
      </w:pPr>
    </w:p>
    <w:p w:rsidR="00106EC6" w:rsidRDefault="00A660A8">
      <w:pPr>
        <w:pStyle w:val="western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sz w:val="26"/>
          <w:szCs w:val="26"/>
        </w:rPr>
        <w:t xml:space="preserve">Como parte de su estrategia de optimizar y poner en valor el patrimonio municipal, el Gobierno local acordó en septiembre de 2023 aprobar la extinción de la concesión administrativa otorgada a la anterior empresa, con el objetivo </w:t>
      </w:r>
      <w:r>
        <w:rPr>
          <w:rFonts w:ascii="Arial Narrow" w:hAnsi="Arial Narrow" w:cs="Century Gothic"/>
          <w:sz w:val="26"/>
          <w:szCs w:val="26"/>
        </w:rPr>
        <w:t xml:space="preserve">de tramitar una nueva licitación pública que permitiese recuperar estas instalaciones y ofrecer la oportunidad de ampliar la oferta de servicios destinados al cuidado de la salud en la ciudad. </w:t>
      </w:r>
    </w:p>
    <w:p w:rsidR="00106EC6" w:rsidRDefault="00106EC6">
      <w:pPr>
        <w:jc w:val="both"/>
        <w:rPr>
          <w:rFonts w:cs="Century Gothic"/>
          <w:b/>
          <w:bCs/>
          <w:color w:val="000000"/>
        </w:rPr>
      </w:pPr>
    </w:p>
    <w:p w:rsidR="00106EC6" w:rsidRDefault="00A660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sz w:val="26"/>
          <w:szCs w:val="26"/>
        </w:rPr>
        <w:t>El plazo de duración</w:t>
      </w:r>
      <w:r>
        <w:rPr>
          <w:rFonts w:ascii="Arial Narrow" w:hAnsi="Arial Narrow" w:cs="Century Gothic"/>
          <w:b/>
          <w:bCs/>
          <w:color w:val="000000"/>
          <w:sz w:val="26"/>
          <w:szCs w:val="26"/>
        </w:rPr>
        <w:t xml:space="preserve"> </w:t>
      </w:r>
      <w:r>
        <w:rPr>
          <w:rFonts w:ascii="Arial Narrow" w:hAnsi="Arial Narrow" w:cs="Century Gothic"/>
          <w:color w:val="000000"/>
          <w:sz w:val="26"/>
          <w:szCs w:val="26"/>
        </w:rPr>
        <w:t>de la concesión será de 25 años, contabi</w:t>
      </w:r>
      <w:r>
        <w:rPr>
          <w:rFonts w:ascii="Arial Narrow" w:hAnsi="Arial Narrow" w:cs="Century Gothic"/>
          <w:color w:val="000000"/>
          <w:sz w:val="26"/>
          <w:szCs w:val="26"/>
        </w:rPr>
        <w:t xml:space="preserve">lizados desde la formalización del correspondiente contrato de concesión administrativa, fijándose como tipo mínimo de la licitación la cantidad de 1.279.824,35 euros. </w:t>
      </w:r>
      <w:r>
        <w:rPr>
          <w:rFonts w:ascii="Arial Narrow" w:hAnsi="Arial Narrow" w:cs="Arial Narrow"/>
          <w:sz w:val="26"/>
          <w:szCs w:val="26"/>
        </w:rPr>
        <w:t>El equipamiento tiene dos plantas de altura y la parcela objeto de esta licitación tiene</w:t>
      </w:r>
      <w:r>
        <w:rPr>
          <w:rFonts w:ascii="Arial Narrow" w:hAnsi="Arial Narrow" w:cs="Arial Narrow"/>
          <w:sz w:val="26"/>
          <w:szCs w:val="26"/>
        </w:rPr>
        <w:t xml:space="preserve"> una extensión superficial de 4.890,00 metros cuadrados.</w:t>
      </w:r>
    </w:p>
    <w:p w:rsidR="00106EC6" w:rsidRDefault="00106EC6">
      <w:pPr>
        <w:jc w:val="both"/>
        <w:rPr>
          <w:rFonts w:ascii="Arial Narrow" w:hAnsi="Arial Narrow"/>
          <w:sz w:val="26"/>
          <w:szCs w:val="26"/>
        </w:rPr>
      </w:pPr>
    </w:p>
    <w:p w:rsidR="00106EC6" w:rsidRDefault="00A660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SimSun;宋体" w:hAnsi="Arial Narrow" w:cs="Century Gothic"/>
          <w:spacing w:val="-3"/>
          <w:sz w:val="26"/>
          <w:szCs w:val="26"/>
          <w:lang w:bidi="hi-IN"/>
        </w:rPr>
        <w:t>El nuevo adjudicatario deberá llevar a cabo todas las obras de mantenimiento, reparación, restauración, reforma, revisión, adaptación y mejora técnica que sean necesarias en el inmueble para su pues</w:t>
      </w:r>
      <w:r>
        <w:rPr>
          <w:rFonts w:ascii="Arial Narrow" w:eastAsia="SimSun;宋体" w:hAnsi="Arial Narrow" w:cs="Century Gothic"/>
          <w:spacing w:val="-3"/>
          <w:sz w:val="26"/>
          <w:szCs w:val="26"/>
          <w:lang w:bidi="hi-IN"/>
        </w:rPr>
        <w:t xml:space="preserve">ta en uso, incluyendo todas las instalaciones y acometidas obligatorias y necesarias para su normal funcionamiento. </w:t>
      </w:r>
    </w:p>
    <w:p w:rsidR="00106EC6" w:rsidRDefault="00106EC6">
      <w:pPr>
        <w:jc w:val="both"/>
        <w:rPr>
          <w:rFonts w:ascii="Arial Narrow" w:hAnsi="Arial Narrow"/>
          <w:sz w:val="26"/>
          <w:szCs w:val="26"/>
        </w:rPr>
      </w:pPr>
    </w:p>
    <w:p w:rsidR="00106EC6" w:rsidRDefault="00106EC6">
      <w:pPr>
        <w:jc w:val="both"/>
        <w:rPr>
          <w:rFonts w:ascii="Arial Narrow" w:hAnsi="Arial Narrow"/>
          <w:sz w:val="26"/>
          <w:szCs w:val="26"/>
        </w:rPr>
      </w:pPr>
    </w:p>
    <w:p w:rsidR="00106EC6" w:rsidRDefault="00106EC6">
      <w:pPr>
        <w:jc w:val="both"/>
        <w:rPr>
          <w:rFonts w:ascii="Arial Narrow" w:hAnsi="Arial Narrow" w:cs="Century Gothic"/>
          <w:color w:val="000000"/>
          <w:spacing w:val="-3"/>
          <w:sz w:val="26"/>
          <w:szCs w:val="26"/>
        </w:rPr>
      </w:pPr>
    </w:p>
    <w:p w:rsidR="00106EC6" w:rsidRDefault="00106EC6">
      <w:pPr>
        <w:ind w:left="708"/>
        <w:jc w:val="both"/>
        <w:rPr>
          <w:rFonts w:ascii="Arial Narrow" w:hAnsi="Arial Narrow" w:cs="Century Gothic"/>
          <w:color w:val="000000"/>
          <w:sz w:val="26"/>
          <w:szCs w:val="26"/>
        </w:rPr>
      </w:pPr>
    </w:p>
    <w:p w:rsidR="00106EC6" w:rsidRDefault="00106EC6">
      <w:pPr>
        <w:jc w:val="both"/>
        <w:rPr>
          <w:rFonts w:ascii="Arial Narrow" w:hAnsi="Arial Narrow" w:cs="Century Gothic"/>
          <w:color w:val="000000"/>
          <w:spacing w:val="-3"/>
          <w:sz w:val="26"/>
          <w:szCs w:val="26"/>
        </w:rPr>
      </w:pPr>
    </w:p>
    <w:p w:rsidR="00106EC6" w:rsidRDefault="00106EC6">
      <w:pPr>
        <w:spacing w:after="200"/>
        <w:jc w:val="both"/>
        <w:rPr>
          <w:color w:val="000000"/>
          <w:lang w:val="es-MX"/>
        </w:rPr>
      </w:pPr>
    </w:p>
    <w:p w:rsidR="00106EC6" w:rsidRDefault="00106EC6">
      <w:pPr>
        <w:jc w:val="both"/>
        <w:rPr>
          <w:rFonts w:ascii="Arial Narrow" w:hAnsi="Arial Narrow"/>
        </w:rPr>
      </w:pPr>
    </w:p>
    <w:p w:rsidR="00106EC6" w:rsidRDefault="00A660A8">
      <w:pPr>
        <w:jc w:val="both"/>
        <w:rPr>
          <w:rFonts w:ascii="Arial Narrow" w:hAnsi="Arial Narrow"/>
          <w:sz w:val="26"/>
          <w:szCs w:val="26"/>
        </w:rPr>
      </w:pPr>
      <w:r>
        <w:br w:type="page"/>
      </w:r>
    </w:p>
    <w:p w:rsidR="00106EC6" w:rsidRDefault="00106EC6">
      <w:pPr>
        <w:pStyle w:val="Default"/>
        <w:jc w:val="both"/>
        <w:rPr>
          <w:sz w:val="20"/>
        </w:rPr>
      </w:pPr>
    </w:p>
    <w:p w:rsidR="00106EC6" w:rsidRDefault="00106EC6">
      <w:pPr>
        <w:pStyle w:val="Default"/>
        <w:jc w:val="both"/>
        <w:rPr>
          <w:color w:val="000009"/>
          <w:sz w:val="23"/>
        </w:rPr>
      </w:pPr>
    </w:p>
    <w:p w:rsidR="00106EC6" w:rsidRDefault="00106EC6">
      <w:pPr>
        <w:pStyle w:val="Default"/>
        <w:jc w:val="both"/>
        <w:rPr>
          <w:color w:val="000009"/>
          <w:sz w:val="23"/>
        </w:rPr>
      </w:pPr>
    </w:p>
    <w:p w:rsidR="00106EC6" w:rsidRDefault="00106EC6">
      <w:pPr>
        <w:pStyle w:val="Default"/>
        <w:jc w:val="both"/>
        <w:rPr>
          <w:sz w:val="20"/>
        </w:rPr>
      </w:pPr>
    </w:p>
    <w:sectPr w:rsidR="00106EC6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60A8">
      <w:r>
        <w:separator/>
      </w:r>
    </w:p>
  </w:endnote>
  <w:endnote w:type="continuationSeparator" w:id="0">
    <w:p w:rsidR="00000000" w:rsidRDefault="00A6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60A8">
      <w:r>
        <w:separator/>
      </w:r>
    </w:p>
  </w:footnote>
  <w:footnote w:type="continuationSeparator" w:id="0">
    <w:p w:rsidR="00000000" w:rsidRDefault="00A6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C6" w:rsidRDefault="00A660A8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6EC6" w:rsidRDefault="00106E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06EC6"/>
    <w:rsid w:val="00106EC6"/>
    <w:rsid w:val="00A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E8DCA-E77A-41FF-82A0-2F664C3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374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JESYTEL S.A.</dc:creator>
  <dc:description/>
  <cp:lastModifiedBy>Ana Isabel Maestro de Pablos</cp:lastModifiedBy>
  <cp:revision>12</cp:revision>
  <dcterms:created xsi:type="dcterms:W3CDTF">2025-08-07T12:55:00Z</dcterms:created>
  <dcterms:modified xsi:type="dcterms:W3CDTF">2025-08-14T10:50:00Z</dcterms:modified>
  <dc:language>es-ES</dc:language>
</cp:coreProperties>
</file>