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66" w:rsidRDefault="00670F66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</w:p>
    <w:p w:rsidR="00670F66" w:rsidRDefault="007E34DD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El Ayuntamiento desarrollará un análisis técnico de la situación actual de los Parques Empresariales y Polígonos Industriales y los sectores productivos con actividad en estos espacios</w:t>
      </w:r>
    </w:p>
    <w:p w:rsidR="00670F66" w:rsidRDefault="00670F66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</w:p>
    <w:p w:rsidR="00670F66" w:rsidRDefault="007E34DD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</w:pPr>
      <w:r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El estudio, aprobado por la Junta de Gobierno Local, está vinculado </w:t>
      </w:r>
      <w:r>
        <w:rPr>
          <w:rFonts w:ascii="Arial Narrow" w:hAnsi="Arial Narrow" w:cs="Arial Narrow"/>
          <w:bCs/>
          <w:sz w:val="36"/>
          <w:szCs w:val="36"/>
          <w:lang w:eastAsia="es-ES_tradnl"/>
        </w:rPr>
        <w:t>a la pertenencia de Jerez a la ‘Red de Ciudades Industriales de Andalucía’</w:t>
      </w:r>
    </w:p>
    <w:p w:rsidR="00670F66" w:rsidRDefault="00670F66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</w:p>
    <w:p w:rsidR="00670F66" w:rsidRDefault="007E34DD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17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agosto de 2025.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El Ayuntamiento de Jerez, a través de la Delegación de Empleo, Trabajo Autónomo, Comercio y Empresa, realizará un diagnóstico de las condiciones actuales en l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as que se encuentran los Parques Empresariales y Polígonos Industriales de la ciudad, áreas en las que se efectuará un detallado análisis técnico de las actividades que están implantadas y de los sectores productivos que ocupan estos emplazamientos.</w:t>
      </w:r>
    </w:p>
    <w:p w:rsidR="00670F66" w:rsidRDefault="007E34DD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El des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arrollo de este estudio se llevará a cabo en virtud de la contratación que ha aprobado la Junta de Gobierno Local recientemente, siendo la entidad mercantil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D'aleph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Iniciativas y Organizaci</w:t>
      </w:r>
      <w:r>
        <w:t xml:space="preserve">ón S.A.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la adjudicataria del ‘Servicio de desarrollo de un proyecto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de consultoría destinado al análisis de los Parques Empresariales/Polígonos Industriales’ por un importe de 14.641 euros (I.V.A. incluido).</w:t>
      </w:r>
    </w:p>
    <w:p w:rsidR="00670F66" w:rsidRDefault="007E34DD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La delegada de Empresa,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Nela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García, ha subrayado que “es necesario disponer de un profundo conocimiento técnico y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sobre el terreno de la configuración y composición de estos espacios de actividad económica por su contribución a la fijación empresarial en el territorio y por el crecimiento productivo y laboral de la ciudad”. Así mismo, “esta valiosa información será de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utilidad para la planificación de actuaciones municipales de mejora y apoyo al desarrollo de estas áreas”, ha asegurado García.</w:t>
      </w:r>
    </w:p>
    <w:p w:rsidR="00670F66" w:rsidRDefault="007E34DD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En esta línea, la responsable municipal ha destacado que este estudio “está vinculado con la pertenencia de Jerez, dentro del á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mbito regional, a la ‘Red de Ciudades Industriales’ y será una herramienta útil con vistas a las actuaciones que esta iniciativa tiene previsto efectuar para la mejora de los espacios industriales de las entidades adheridas”.</w:t>
      </w:r>
    </w:p>
    <w:p w:rsidR="00670F66" w:rsidRDefault="007E34DD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La ‘Red de Ciudades Industrial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es’ es una acción de la Junta de Andalucía que une a municipios andaluces comprometidos con el desarrollo industrial local y la captación de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lastRenderedPageBreak/>
        <w:t>inversiones y que, entre otras funciones, proporciona orientación para el seguimiento y adecuación de las áreas emp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resariales a las necesidades de la industria.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Jerez forma parte de este proyecto desde septiembre de 2023.</w:t>
      </w:r>
    </w:p>
    <w:p w:rsidR="00670F66" w:rsidRDefault="007E34DD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En este sentido, entre los objetivos que se establecen con el estudio que el Ayuntamiento va a elaborar están: I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dentificar los órganos de gestión que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rigen cada espacio (EUC, Comunidad de propietarios, Asociación empresarial) o si carecen de dicho órgano, obtener datos ciertos sobre las empresas localizadas en estos complejos y realizar su identificación: número de empresas, tipología de empresas por 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ctividad, por número de empleados, facturación, etc. Además, con toda la información recabada se pretende elaborar una estadística que sea una radiografía de la situación actual de estos enclaves</w:t>
      </w:r>
      <w:r>
        <w:t xml:space="preserve">. </w:t>
      </w:r>
    </w:p>
    <w:p w:rsidR="00670F66" w:rsidRDefault="007E34DD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Jerez dispone de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9.060.069 m² para actividades económicas distribuida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s en 19 polígonos industriales,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superficies que están ocupadas prácticamente al completo, según datos de la Delegación de Empresa, y que concentran la labor de empresarios e inversores que dinamizan la economía local. </w:t>
      </w:r>
    </w:p>
    <w:p w:rsidR="00670F66" w:rsidRDefault="007E34DD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“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El análisis técnico que se contrata, y su aportación al conocimiento detallado de estas áreas, es un reflejo del compromiso del G</w:t>
      </w:r>
      <w:bookmarkStart w:id="0" w:name="_GoBack"/>
      <w:bookmarkEnd w:id="0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obierno local con la revitalización de lugares que son referentes productivos y con el tejido empresarial de la ciudad. Es una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apuesta decidida por seguir impulsando el sector industrial como motor de avance económico y social para la zona, consolidar el tejido empresarial y favorecer la generación de empleo” ha recalcado la delegada de Empresa. </w:t>
      </w:r>
    </w:p>
    <w:p w:rsidR="00670F66" w:rsidRDefault="00670F66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</w:p>
    <w:p w:rsidR="00670F66" w:rsidRDefault="007E34DD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 fotografía)</w:t>
      </w:r>
    </w:p>
    <w:p w:rsidR="00670F66" w:rsidRDefault="00670F66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670F66" w:rsidRDefault="00670F66">
      <w:pPr>
        <w:spacing w:after="142"/>
        <w:jc w:val="both"/>
        <w:rPr>
          <w:shd w:val="clear" w:color="auto" w:fill="FFFF00"/>
        </w:rPr>
      </w:pPr>
    </w:p>
    <w:sectPr w:rsidR="00670F66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34DD">
      <w:r>
        <w:separator/>
      </w:r>
    </w:p>
  </w:endnote>
  <w:endnote w:type="continuationSeparator" w:id="0">
    <w:p w:rsidR="00000000" w:rsidRDefault="007E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34DD">
      <w:r>
        <w:separator/>
      </w:r>
    </w:p>
  </w:footnote>
  <w:footnote w:type="continuationSeparator" w:id="0">
    <w:p w:rsidR="00000000" w:rsidRDefault="007E3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66" w:rsidRDefault="007E34DD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0F66" w:rsidRDefault="00670F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F66"/>
    <w:rsid w:val="00670F66"/>
    <w:rsid w:val="007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BC5B5-EE19-48BA-A103-43B2461F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Textoindependiente"/>
    <w:link w:val="Ttulo4Car"/>
    <w:semiHidden/>
    <w:unhideWhenUsed/>
    <w:qFormat/>
    <w:rsid w:val="00CB033E"/>
    <w:pPr>
      <w:keepNext/>
      <w:spacing w:before="120" w:after="120"/>
      <w:outlineLvl w:val="3"/>
    </w:pPr>
    <w:rPr>
      <w:rFonts w:ascii="Liberation Serif" w:eastAsia="Segoe UI" w:hAnsi="Liberation Serif" w:cs="Tahoma"/>
      <w:b/>
      <w:bCs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basedOn w:val="Fuentedeprrafopredeter"/>
    <w:uiPriority w:val="99"/>
    <w:semiHidden/>
    <w:unhideWhenUsed/>
    <w:rsid w:val="00803FEF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qFormat/>
    <w:rsid w:val="00CB033E"/>
    <w:rPr>
      <w:rFonts w:ascii="Liberation Serif" w:eastAsia="Segoe UI" w:hAnsi="Liberation Serif" w:cs="Tahoma"/>
      <w:b/>
      <w:bCs/>
      <w:color w:val="00000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CB033E"/>
  </w:style>
  <w:style w:type="character" w:styleId="Textoennegrita">
    <w:name w:val="Strong"/>
    <w:qFormat/>
    <w:rPr>
      <w:b/>
      <w:bCs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CB033E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4507FF"/>
    <w:pPr>
      <w:spacing w:after="200"/>
    </w:pPr>
    <w:rPr>
      <w:rFonts w:ascii="Times New Roman" w:eastAsia="Calibri" w:hAnsi="Times New Roman" w:cs="Times New Roman"/>
      <w:color w:val="00000A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Default">
    <w:name w:val="Default"/>
    <w:qFormat/>
    <w:rPr>
      <w:rFonts w:ascii="0" w:eastAsia="Calibri" w:hAnsi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585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495</cp:revision>
  <dcterms:created xsi:type="dcterms:W3CDTF">2008-04-18T08:06:00Z</dcterms:created>
  <dcterms:modified xsi:type="dcterms:W3CDTF">2025-08-14T11:17:00Z</dcterms:modified>
  <dc:language>es-ES</dc:language>
</cp:coreProperties>
</file>