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E8" w:rsidRDefault="002E53E8"/>
    <w:p w:rsidR="002E53E8" w:rsidRDefault="000831BC">
      <w:pPr>
        <w:pStyle w:val="western"/>
        <w:rPr>
          <w:rFonts w:ascii="Arial Narrow" w:hAnsi="Arial Narrow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desarrollo urbanístico de los terrenos de la antigua Azucarera San Jerónimo avanza en su tramitación </w:t>
      </w:r>
    </w:p>
    <w:p w:rsidR="002E53E8" w:rsidRDefault="002E53E8">
      <w:pPr>
        <w:pStyle w:val="western"/>
        <w:rPr>
          <w:rFonts w:ascii="Arial Narrow" w:hAnsi="Arial Narrow"/>
          <w:color w:val="000000"/>
        </w:rPr>
      </w:pPr>
    </w:p>
    <w:p w:rsidR="002E53E8" w:rsidRDefault="002E53E8">
      <w:pPr>
        <w:pStyle w:val="western"/>
        <w:rPr>
          <w:rFonts w:ascii="Arial Narrow" w:hAnsi="Arial Narrow"/>
          <w:sz w:val="32"/>
          <w:szCs w:val="32"/>
        </w:rPr>
      </w:pPr>
    </w:p>
    <w:p w:rsidR="002E53E8" w:rsidRDefault="000831BC">
      <w:pPr>
        <w:pStyle w:val="western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La Junta de Gobierno Local aprueba inicialmente el Estudio de Detalle del ARI Azucarera-San Jerónimo donde se podrían construir hasta 338 </w:t>
      </w:r>
      <w:r>
        <w:rPr>
          <w:rFonts w:ascii="Arial Narrow" w:hAnsi="Arial Narrow"/>
          <w:sz w:val="32"/>
          <w:szCs w:val="32"/>
        </w:rPr>
        <w:t>viviendas, de las que un mínimo de 119 serían en régimen de protección</w:t>
      </w:r>
    </w:p>
    <w:p w:rsidR="002E53E8" w:rsidRDefault="002E53E8">
      <w:pPr>
        <w:pStyle w:val="western"/>
        <w:rPr>
          <w:rFonts w:ascii="Arial Narrow" w:hAnsi="Arial Narrow"/>
          <w:sz w:val="32"/>
          <w:szCs w:val="32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17</w:t>
      </w:r>
      <w:r>
        <w:rPr>
          <w:rFonts w:ascii="Arial Narrow" w:hAnsi="Arial Narrow" w:cstheme="majorHAnsi"/>
          <w:b/>
          <w:bCs/>
          <w:sz w:val="26"/>
          <w:szCs w:val="26"/>
        </w:rPr>
        <w:t xml:space="preserve"> de octubre de 2025</w:t>
      </w:r>
      <w:r>
        <w:rPr>
          <w:rFonts w:ascii="Arial Narrow" w:hAnsi="Arial Narrow" w:cstheme="majorHAnsi"/>
          <w:sz w:val="26"/>
          <w:szCs w:val="26"/>
        </w:rPr>
        <w:t xml:space="preserve">.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La Junta de Gobierno Local ha aprobado inicialmente el Estudio de Detalle de A.R.I. D-01 Azucarera - San Jerónimo, que comprende los suelos de la antigua Azucare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ra San Jerónimo, que contemplan una </w:t>
      </w:r>
      <w:r>
        <w:rPr>
          <w:rFonts w:ascii="Arial Narrow" w:hAnsi="Arial Narrow" w:cs="Century Gothic"/>
          <w:spacing w:val="-3"/>
          <w:sz w:val="26"/>
          <w:szCs w:val="26"/>
        </w:rPr>
        <w:t>superficie bruta de 51.857 metros cuadrados y un uso predominante de residencial, y tienen capacidad para un máximo de 338 viviendas, de las cuales un mínimo de 119 serían</w:t>
      </w:r>
      <w:r>
        <w:rPr>
          <w:rFonts w:ascii="Arial Narrow" w:hAnsi="Arial Narrow" w:cs="Century Gothic"/>
          <w:color w:val="000000"/>
          <w:spacing w:val="-3"/>
          <w:sz w:val="26"/>
          <w:szCs w:val="26"/>
        </w:rPr>
        <w:t xml:space="preserve"> vivienda protegida.</w:t>
      </w:r>
    </w:p>
    <w:p w:rsidR="002E53E8" w:rsidRDefault="002E53E8">
      <w:pPr>
        <w:jc w:val="both"/>
        <w:rPr>
          <w:rFonts w:ascii="Arial Narrow" w:hAnsi="Arial Narrow" w:cs="Century Gothic"/>
          <w:color w:val="000000"/>
          <w:spacing w:val="-3"/>
          <w:sz w:val="26"/>
          <w:szCs w:val="26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pacing w:val="-3"/>
          <w:sz w:val="26"/>
          <w:szCs w:val="26"/>
        </w:rPr>
        <w:t>La delegada de Vivienda y U</w:t>
      </w:r>
      <w:r>
        <w:rPr>
          <w:rFonts w:ascii="Arial Narrow" w:hAnsi="Arial Narrow" w:cs="Century Gothic"/>
          <w:color w:val="000000"/>
          <w:spacing w:val="-3"/>
          <w:sz w:val="26"/>
          <w:szCs w:val="26"/>
        </w:rPr>
        <w:t xml:space="preserve">rbanismo, Belén de la Cuadra, ha recordado que hace apenas dos meses el Ayuntamiento iniciaba – atendiendo la solicitud de los propietarios de estos suelos,  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la entidad </w:t>
      </w:r>
      <w:proofErr w:type="spellStart"/>
      <w:r>
        <w:rPr>
          <w:rFonts w:ascii="Arial Narrow" w:hAnsi="Arial Narrow" w:cs="Century Gothic"/>
          <w:spacing w:val="-3"/>
          <w:sz w:val="26"/>
          <w:szCs w:val="26"/>
        </w:rPr>
        <w:t>Goframa</w:t>
      </w:r>
      <w:proofErr w:type="spellEnd"/>
      <w:r>
        <w:rPr>
          <w:rFonts w:ascii="Arial Narrow" w:hAnsi="Arial Narrow" w:cs="Century Gothic"/>
          <w:spacing w:val="-3"/>
          <w:sz w:val="26"/>
          <w:szCs w:val="26"/>
        </w:rPr>
        <w:t xml:space="preserve"> Home S.L - </w:t>
      </w:r>
      <w:r>
        <w:rPr>
          <w:rFonts w:ascii="Arial Narrow" w:hAnsi="Arial Narrow" w:cs="Century Gothic"/>
          <w:color w:val="000000"/>
          <w:spacing w:val="-3"/>
          <w:sz w:val="26"/>
          <w:szCs w:val="26"/>
        </w:rPr>
        <w:t>la tramitación de este expediente mediante la aprobación del sistema</w:t>
      </w:r>
      <w:r>
        <w:rPr>
          <w:rFonts w:ascii="Arial Narrow" w:hAnsi="Arial Narrow" w:cs="Century Gothic"/>
          <w:color w:val="000000"/>
          <w:spacing w:val="-3"/>
          <w:sz w:val="26"/>
          <w:szCs w:val="26"/>
        </w:rPr>
        <w:t xml:space="preserve"> de actuación (por compensación) que permitirá impulsar la transformación urbanística de la zona, </w:t>
      </w:r>
      <w:r>
        <w:rPr>
          <w:rFonts w:ascii="Arial Narrow" w:hAnsi="Arial Narrow" w:cs="Century Gothic"/>
          <w:spacing w:val="-3"/>
          <w:sz w:val="26"/>
          <w:szCs w:val="26"/>
        </w:rPr>
        <w:t>“y ahora damos un paso más con la aprobación inicial del Estudio de Detalle, un instrumento que tiene como objeto la ordenación detallada de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 los terrenos en cues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tión”. </w:t>
      </w:r>
    </w:p>
    <w:p w:rsidR="002E53E8" w:rsidRDefault="002E53E8">
      <w:pPr>
        <w:jc w:val="both"/>
        <w:rPr>
          <w:rFonts w:cs="Century Gothic"/>
          <w:spacing w:val="-3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t>La aprobación inicial se lleva a cabo una vez obtenidos todos los informes sectoriales de las correspondientes administraciones, y analizado la documentación presentada por la promotora, y una vez se notifique el presente acuerdo a los interesados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, el expediente se someterá al trámite de información pública por un plazo de 20 días. </w:t>
      </w:r>
    </w:p>
    <w:p w:rsidR="002E53E8" w:rsidRDefault="002E53E8">
      <w:pPr>
        <w:jc w:val="both"/>
        <w:rPr>
          <w:rFonts w:cs="Century Gothic"/>
          <w:spacing w:val="-3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t>Para Belén de la Cuadra, este paso adelante supone “un importante avance en nuestro objetivo de seguir impulsando el crecimiento ordenado y sostenible de Jerez, propiciando, además, la puesta a disposición de suelos para nuevas viviendas, de las que un núm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ero importante serían en régimen de protección”. </w:t>
      </w:r>
    </w:p>
    <w:p w:rsidR="002E53E8" w:rsidRDefault="002E53E8">
      <w:pPr>
        <w:jc w:val="both"/>
        <w:rPr>
          <w:rFonts w:cs="Century Gothic"/>
          <w:spacing w:val="-3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t xml:space="preserve">Igualmente, la delegada de Urbanismo y Vivienda ha subrayado que “todo desarrollo urbanístico implica, además de la transformación del entramado urbano, más economía, más empleo, y nuevas oportunidades de </w:t>
      </w:r>
      <w:r>
        <w:rPr>
          <w:rFonts w:ascii="Arial Narrow" w:hAnsi="Arial Narrow" w:cs="Century Gothic"/>
          <w:spacing w:val="-3"/>
          <w:sz w:val="26"/>
          <w:szCs w:val="26"/>
        </w:rPr>
        <w:t>negocio para el tejido empresarial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 y, de manera especial, para sectores muy activos como es el inmobiliario, que constituye hoy en día un motor clave para dinamizar la actividad económica”. </w:t>
      </w:r>
    </w:p>
    <w:p w:rsidR="002E53E8" w:rsidRDefault="002E53E8">
      <w:pPr>
        <w:jc w:val="both"/>
        <w:rPr>
          <w:rFonts w:cs="Century Gothic"/>
          <w:spacing w:val="-3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lastRenderedPageBreak/>
        <w:t>Asimismo, este desarrollo implica, tal y como ha subrayado Belé</w:t>
      </w:r>
      <w:r>
        <w:rPr>
          <w:rFonts w:ascii="Arial Narrow" w:hAnsi="Arial Narrow" w:cs="Century Gothic"/>
          <w:spacing w:val="-3"/>
          <w:sz w:val="26"/>
          <w:szCs w:val="26"/>
        </w:rPr>
        <w:t xml:space="preserve">n de la Cuadra, “que seguimos dando cumplimiento a nuestro PGOU, facilitando que se generen mejores infraestructuras y unos servicios adecuados a futuros residentes y vecinos de esta zona”. </w:t>
      </w:r>
    </w:p>
    <w:p w:rsidR="002E53E8" w:rsidRDefault="002E53E8">
      <w:pPr>
        <w:jc w:val="both"/>
        <w:rPr>
          <w:rFonts w:ascii="Arial Narrow" w:hAnsi="Arial Narrow"/>
          <w:sz w:val="26"/>
          <w:szCs w:val="26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t xml:space="preserve">Cabe recordar que, según la información aportada por </w:t>
      </w:r>
      <w:r>
        <w:rPr>
          <w:rFonts w:ascii="Arial Narrow" w:hAnsi="Arial Narrow"/>
          <w:spacing w:val="-4"/>
          <w:sz w:val="26"/>
          <w:szCs w:val="26"/>
        </w:rPr>
        <w:t>el promotor</w:t>
      </w:r>
      <w:r>
        <w:rPr>
          <w:rFonts w:ascii="Arial Narrow" w:hAnsi="Arial Narrow"/>
          <w:spacing w:val="-4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pacing w:val="-4"/>
          <w:sz w:val="26"/>
          <w:szCs w:val="26"/>
        </w:rPr>
        <w:t>Goframa</w:t>
      </w:r>
      <w:proofErr w:type="spellEnd"/>
      <w:r>
        <w:rPr>
          <w:rFonts w:ascii="Arial Narrow" w:hAnsi="Arial Narrow"/>
          <w:spacing w:val="-4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pacing w:val="-4"/>
          <w:sz w:val="26"/>
          <w:szCs w:val="26"/>
        </w:rPr>
        <w:t>Homes</w:t>
      </w:r>
      <w:proofErr w:type="spellEnd"/>
      <w:r>
        <w:rPr>
          <w:rFonts w:ascii="Arial Narrow" w:hAnsi="Arial Narrow"/>
          <w:spacing w:val="-4"/>
          <w:sz w:val="26"/>
          <w:szCs w:val="26"/>
        </w:rPr>
        <w:t xml:space="preserve"> SL y el gestor, Nuevo Impulso Inmobiliario SL, la previsión es construir, en cuatro fases, un total de “167 viviendas en bloque libre; 32 viviendas pareadas; 20 viviendas adosadas y 119 viviendas protegidas en bloque con locales comerciales</w:t>
      </w:r>
      <w:r>
        <w:rPr>
          <w:rFonts w:ascii="Arial Narrow" w:hAnsi="Arial Narrow"/>
          <w:spacing w:val="-4"/>
          <w:sz w:val="26"/>
          <w:szCs w:val="26"/>
        </w:rPr>
        <w:t xml:space="preserve">; además está prevista una manzana para uso terciario o comercial que le dará una gran relevancia y servicios a los futuros residentes”. </w:t>
      </w:r>
    </w:p>
    <w:p w:rsidR="002E53E8" w:rsidRDefault="002E53E8">
      <w:pPr>
        <w:jc w:val="both"/>
        <w:rPr>
          <w:rFonts w:ascii="Arial Narrow" w:hAnsi="Arial Narrow" w:cs="Century Gothic"/>
          <w:spacing w:val="-3"/>
          <w:sz w:val="26"/>
          <w:szCs w:val="26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pacing w:val="-4"/>
          <w:sz w:val="26"/>
          <w:szCs w:val="26"/>
        </w:rPr>
        <w:t>El  ámbito del ARI D-01-Azucarera San Jerónimo contempla una edificabilidad máxima de 36.687,04 metros cuadrados, con</w:t>
      </w:r>
      <w:r>
        <w:rPr>
          <w:rFonts w:ascii="Arial Narrow" w:hAnsi="Arial Narrow"/>
          <w:color w:val="000000"/>
          <w:spacing w:val="-4"/>
          <w:sz w:val="26"/>
          <w:szCs w:val="26"/>
        </w:rPr>
        <w:t xml:space="preserve"> una superficie destinada a espacio libre público de 6.991,63 metros cuadrados y una superficie de equipamiento público de 1.350,15 metros cuadrados. </w:t>
      </w:r>
    </w:p>
    <w:p w:rsidR="002E53E8" w:rsidRDefault="002E53E8">
      <w:pPr>
        <w:jc w:val="both"/>
        <w:rPr>
          <w:rFonts w:ascii="Arial Narrow" w:hAnsi="Arial Narrow"/>
          <w:sz w:val="26"/>
          <w:szCs w:val="26"/>
        </w:rPr>
      </w:pPr>
    </w:p>
    <w:p w:rsidR="002E53E8" w:rsidRDefault="000831B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spacing w:val="-3"/>
          <w:sz w:val="26"/>
          <w:szCs w:val="26"/>
        </w:rPr>
        <w:t>Tras el Estudio de Detalle,  se llevará a cabo la tramitación de</w:t>
      </w:r>
      <w:r>
        <w:rPr>
          <w:rFonts w:ascii="Arial Narrow" w:hAnsi="Arial Narrow"/>
          <w:spacing w:val="-4"/>
          <w:sz w:val="26"/>
          <w:szCs w:val="26"/>
        </w:rPr>
        <w:t xml:space="preserve"> los correspondientes instrumentos de ej</w:t>
      </w:r>
      <w:r>
        <w:rPr>
          <w:rFonts w:ascii="Arial Narrow" w:hAnsi="Arial Narrow"/>
          <w:spacing w:val="-4"/>
          <w:sz w:val="26"/>
          <w:szCs w:val="26"/>
        </w:rPr>
        <w:t>ecución (Proyectos de Reparcelación y Urbanización), con lo que se daría luz verde a la ejecución de la urbanización de los terrenos en cuestión</w:t>
      </w:r>
      <w:bookmarkStart w:id="0" w:name="_GoBack"/>
      <w:bookmarkEnd w:id="0"/>
      <w:r>
        <w:rPr>
          <w:rFonts w:ascii="Arial Narrow" w:hAnsi="Arial Narrow"/>
          <w:spacing w:val="-4"/>
          <w:sz w:val="26"/>
          <w:szCs w:val="26"/>
        </w:rPr>
        <w:t xml:space="preserve"> y posterior licencia de obras de edificación. </w:t>
      </w:r>
    </w:p>
    <w:p w:rsidR="002E53E8" w:rsidRDefault="002E53E8">
      <w:pPr>
        <w:jc w:val="both"/>
        <w:rPr>
          <w:rFonts w:ascii="Arial Narrow" w:hAnsi="Arial Narrow"/>
          <w:spacing w:val="-4"/>
          <w:sz w:val="26"/>
          <w:szCs w:val="26"/>
        </w:rPr>
      </w:pPr>
    </w:p>
    <w:p w:rsidR="002E53E8" w:rsidRDefault="002E53E8">
      <w:pPr>
        <w:pStyle w:val="Textopreformateado"/>
        <w:jc w:val="both"/>
        <w:rPr>
          <w:rFonts w:ascii="Arial Narrow" w:hAnsi="Arial Narrow"/>
          <w:spacing w:val="-4"/>
          <w:sz w:val="26"/>
          <w:szCs w:val="26"/>
        </w:rPr>
      </w:pPr>
    </w:p>
    <w:p w:rsidR="002E53E8" w:rsidRDefault="002E53E8">
      <w:pPr>
        <w:pStyle w:val="p1"/>
      </w:pPr>
    </w:p>
    <w:p w:rsidR="002E53E8" w:rsidRDefault="002E53E8">
      <w:pPr>
        <w:rPr>
          <w:rFonts w:ascii="Arial Narrow" w:hAnsi="Arial Narrow" w:cstheme="majorHAnsi"/>
          <w:sz w:val="26"/>
          <w:szCs w:val="26"/>
        </w:rPr>
      </w:pPr>
    </w:p>
    <w:sectPr w:rsidR="002E53E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31BC">
      <w:r>
        <w:separator/>
      </w:r>
    </w:p>
  </w:endnote>
  <w:endnote w:type="continuationSeparator" w:id="0">
    <w:p w:rsidR="00000000" w:rsidRDefault="000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31BC">
      <w:r>
        <w:separator/>
      </w:r>
    </w:p>
  </w:footnote>
  <w:footnote w:type="continuationSeparator" w:id="0">
    <w:p w:rsidR="00000000" w:rsidRDefault="0008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E8" w:rsidRDefault="000831B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3E8" w:rsidRDefault="002E53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E53E8"/>
    <w:rsid w:val="000831BC"/>
    <w:rsid w:val="002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470C9-F9A6-43F8-8695-963BD280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Normal14">
    <w:name w:val="Normal14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65</cp:revision>
  <dcterms:created xsi:type="dcterms:W3CDTF">2008-04-18T08:06:00Z</dcterms:created>
  <dcterms:modified xsi:type="dcterms:W3CDTF">2025-10-17T07:14:00Z</dcterms:modified>
  <dc:language>es-ES</dc:language>
</cp:coreProperties>
</file>