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Fuentedeprrafopredeter2"/>
          <w:rFonts w:ascii="Arial Narrow" w:hAnsi="Arial Narrow" w:cs="Century Gothic"/>
          <w:color w:val="000000"/>
          <w:sz w:val="36"/>
          <w:szCs w:val="36"/>
        </w:rPr>
      </w:pPr>
      <w:r>
        <w:rPr>
          <w:rFonts w:cs="Century Gothic" w:ascii="Arial Narrow" w:hAnsi="Arial Narrow"/>
          <w:color w:val="000000"/>
          <w:sz w:val="36"/>
          <w:szCs w:val="36"/>
        </w:rPr>
      </w:r>
    </w:p>
    <w:p>
      <w:pPr>
        <w:pStyle w:val="Normal"/>
        <w:ind w:right="-510"/>
        <w:rPr>
          <w:rFonts w:ascii="Arial Narrow" w:hAnsi="Arial Narrow" w:cs="Century Gothic"/>
          <w:color w:val="000000"/>
          <w:sz w:val="26"/>
          <w:szCs w:val="26"/>
        </w:rPr>
      </w:pPr>
      <w:r>
        <w:rPr>
          <w:rFonts w:cs="Century Gothic" w:ascii="Arial Narrow" w:hAnsi="Arial Narrow"/>
          <w:color w:val="000000"/>
          <w:sz w:val="26"/>
          <w:szCs w:val="26"/>
        </w:rPr>
      </w:r>
    </w:p>
    <w:p>
      <w:pPr>
        <w:pStyle w:val="Normal"/>
        <w:jc w:val="left"/>
        <w:rPr/>
      </w:pPr>
      <w:r>
        <w:rPr>
          <w:rFonts w:eastAsia="Malgun Gothic" w:cs="Helvetica" w:ascii="Arial Narrow" w:hAnsi="Arial Narrow"/>
          <w:b/>
          <w:bCs/>
          <w:color w:val="auto"/>
          <w:spacing w:val="-2"/>
          <w:sz w:val="40"/>
          <w:szCs w:val="40"/>
          <w:lang w:eastAsia="es-ES_tradnl" w:bidi="hi-IN"/>
        </w:rPr>
        <w:t>El Ayuntamiento saca a venta forzosa la finca de la calle Fernán Caballero 13, incluida en el Registro Municipal de Solares</w:t>
      </w:r>
    </w:p>
    <w:p>
      <w:pPr>
        <w:pStyle w:val="Normal"/>
        <w:spacing w:before="0" w:after="0"/>
        <w:rPr>
          <w:color w:val="auto"/>
          <w:sz w:val="40"/>
          <w:szCs w:val="40"/>
        </w:rPr>
      </w:pPr>
      <w:r>
        <w:rPr>
          <w:color w:val="auto"/>
          <w:sz w:val="40"/>
          <w:szCs w:val="40"/>
        </w:rPr>
      </w:r>
    </w:p>
    <w:p>
      <w:pPr>
        <w:pStyle w:val="Normal"/>
        <w:jc w:val="both"/>
        <w:rPr>
          <w:rFonts w:ascii="Arial Narrow" w:hAnsi="Arial Narrow"/>
          <w:sz w:val="26"/>
          <w:szCs w:val="26"/>
        </w:rPr>
      </w:pPr>
      <w:r>
        <w:rPr>
          <w:rFonts w:eastAsia="Malgun Gothic" w:cs="Helvetica" w:ascii="Arial Narrow" w:hAnsi="Arial Narrow"/>
          <w:b/>
          <w:bCs/>
          <w:color w:val="000000"/>
          <w:sz w:val="26"/>
          <w:szCs w:val="26"/>
          <w:lang w:eastAsia="es-ES_tradnl"/>
        </w:rPr>
        <w:t>21</w:t>
      </w:r>
      <w:r>
        <w:rPr>
          <w:rFonts w:eastAsia="Malgun Gothic" w:cs="Helvetica" w:ascii="Arial Narrow" w:hAnsi="Arial Narrow"/>
          <w:b/>
          <w:bCs/>
          <w:color w:val="000000"/>
          <w:sz w:val="26"/>
          <w:szCs w:val="26"/>
          <w:lang w:eastAsia="es-ES_tradnl"/>
        </w:rPr>
        <w:t xml:space="preserve"> de noviembre de 2025. </w:t>
      </w:r>
      <w:r>
        <w:rPr>
          <w:rFonts w:eastAsia="Malgun Gothic" w:cs="Helvetica" w:ascii="Arial Narrow" w:hAnsi="Arial Narrow"/>
          <w:b w:val="false"/>
          <w:bCs w:val="false"/>
          <w:color w:val="000000"/>
          <w:sz w:val="26"/>
          <w:szCs w:val="26"/>
          <w:lang w:eastAsia="es-ES_tradnl"/>
        </w:rPr>
        <w:t>El Ayuntamiento ha iniciado un nuevo</w:t>
      </w:r>
      <w:r>
        <w:rPr>
          <w:rFonts w:cs="Arial" w:ascii="Arial Narrow" w:hAnsi="Arial Narrow" w:cstheme="minorHAnsi"/>
          <w:b w:val="false"/>
          <w:bCs w:val="false"/>
          <w:sz w:val="26"/>
          <w:szCs w:val="26"/>
        </w:rPr>
        <w:t xml:space="preserve"> procedimiento de venta forzosa destinado, en esta ocasión, a la sustitución de los propietarios de la finca de la calle Fernán Caballero 13, incluida en el Registro Municipal de Solares y Edificaciones Ruinosas. El acuerdo adoptado por la Junta de Gobierno Local incluye también la aprobación del</w:t>
      </w:r>
      <w:r>
        <w:rPr>
          <w:rFonts w:eastAsia="Malgun Gothic" w:cs="Arial" w:ascii="Arial Narrow" w:hAnsi="Arial Narrow" w:cstheme="minorHAnsi"/>
          <w:b w:val="false"/>
          <w:bCs w:val="false"/>
          <w:color w:val="000000"/>
          <w:sz w:val="26"/>
          <w:szCs w:val="26"/>
          <w:lang w:eastAsia="es-ES_tradnl"/>
        </w:rPr>
        <w:t xml:space="preserve"> Pliego de Condiciones que regulará la venta de este inmueble, que tiene un precio de salida de 28.241,93  euros.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Malgun Gothic" w:cs="Arial" w:ascii="Arial Narrow" w:hAnsi="Arial Narrow" w:cstheme="minorHAnsi"/>
          <w:b w:val="false"/>
          <w:bCs w:val="false"/>
          <w:color w:val="000000"/>
          <w:sz w:val="26"/>
          <w:szCs w:val="26"/>
          <w:lang w:eastAsia="es-ES_tradnl"/>
        </w:rPr>
        <w:t xml:space="preserve">La parcela en cuestión tiene una superficie de 244 metros cuadrados y estuvo destinada en su día a la construcción de un edificio de 5 viviendas, si bien, las obras de construcción se paralizaron y se abandonaron por parte de sus promotores, quedando sólo la estructura de la futura edificación. Desde entonces, la finca ha sido objeto de numerosos episodios de vandalismo en su interior e incluso de incendios, lo que motivó la intervención del Ayuntamiento de forma subsidiaria para realizar trabajos de tapiado que impidiesen el acceso.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Malgun Gothic" w:cs="Arial" w:ascii="Arial Narrow" w:hAnsi="Arial Narrow" w:cstheme="minorHAnsi"/>
          <w:b w:val="false"/>
          <w:bCs w:val="false"/>
          <w:color w:val="000000"/>
          <w:sz w:val="26"/>
          <w:szCs w:val="26"/>
          <w:lang w:eastAsia="es-ES_tradnl"/>
        </w:rPr>
        <w:t>La delegada de Vivienda, Belén de la Cuadra ha recordado que hasta la fecha, el Gobierno ha tramitado ocho expedientes de venta forzosa, “con lo que éste constituye el noveno procedimiento que se pone en marcha en el presente mandato, en el que, además, se han incluido como nuevos criterios de valoración</w:t>
      </w:r>
      <w:r>
        <w:rPr>
          <w:rFonts w:eastAsia="Times New Roman" w:cs="Arial" w:ascii="Arial Narrow" w:hAnsi="Arial Narrow" w:cstheme="minorHAnsi"/>
          <w:b w:val="false"/>
          <w:bCs w:val="false"/>
          <w:color w:val="000000"/>
          <w:sz w:val="26"/>
          <w:szCs w:val="26"/>
          <w:lang w:eastAsia="es-ES_tradnl"/>
        </w:rPr>
        <w:t xml:space="preserve"> destinar la futura edificación de la finca a un uso residencial; construir un mayor número de viviendas de, al menos dos dormitorios, en las futuras edificaciones; y destinar la finca a vivienda de protección </w:t>
      </w:r>
      <w:r>
        <w:rPr>
          <w:rFonts w:eastAsia="Times New Roman" w:cs="Arial" w:ascii="Arial Narrow" w:hAnsi="Arial Narrow" w:cstheme="minorHAnsi"/>
          <w:b w:val="false"/>
          <w:bCs w:val="false"/>
          <w:color w:val="000000"/>
          <w:sz w:val="26"/>
          <w:szCs w:val="26"/>
          <w:u w:val="none"/>
          <w:lang w:eastAsia="es-ES_tradnl"/>
        </w:rPr>
        <w:t xml:space="preserve">oficial, </w:t>
      </w:r>
      <w:r>
        <w:rPr>
          <w:rFonts w:eastAsia="Times New Roman" w:cs="Arial" w:ascii="Arial Narrow" w:hAnsi="Arial Narrow" w:cstheme="minorHAnsi"/>
          <w:b w:val="false"/>
          <w:bCs w:val="false"/>
          <w:strike w:val="false"/>
          <w:dstrike w:val="false"/>
          <w:color w:val="000000"/>
          <w:sz w:val="26"/>
          <w:szCs w:val="26"/>
          <w:u w:val="none"/>
          <w:lang w:eastAsia="es-ES_tradnl"/>
        </w:rPr>
        <w:t xml:space="preserve">no siendo excluyentes ninguno de estos criterios.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imes New Roman" w:cs="Arial" w:ascii="Arial Narrow" w:hAnsi="Arial Narrow" w:cstheme="minorHAnsi"/>
          <w:b w:val="false"/>
          <w:bCs w:val="false"/>
          <w:color w:val="000000"/>
          <w:sz w:val="26"/>
          <w:szCs w:val="26"/>
          <w:lang w:eastAsia="es-ES_tradnl"/>
        </w:rPr>
        <w:t xml:space="preserve">De esa forma, el pliego de condiciones recoge, en su apartado de ‘Procedimiento y criterios de adjudicación’, los siguientes: criterio de mejor oferta económica, que </w:t>
      </w:r>
      <w:r>
        <w:rPr>
          <w:rFonts w:eastAsia="Malgun Gothic" w:cs="Arial" w:ascii="Arial Narrow" w:hAnsi="Arial Narrow" w:cstheme="minorHAnsi"/>
          <w:b w:val="false"/>
          <w:bCs w:val="false"/>
          <w:color w:val="000000"/>
          <w:sz w:val="26"/>
          <w:szCs w:val="26"/>
          <w:lang w:eastAsia="es-ES_tradnl"/>
        </w:rPr>
        <w:t xml:space="preserve">otorgará la máxima puntuación (60 puntos) a la propuesta económica más alta; destino residencial, que da la máxima puntuación (15 puntos) a las ofertas en las que se asuma la obligación de destinar las futuras edificaciones en las parcelas objeto de licitación al uso residencial; criterio del mayor número de viviendas, otorgando hasta un máximo de 15 puntos al ofertante que se comprometa a la construcción de un mayor número de viviendas, de al menos dos dormitorios; y, por último, criterio de destino de vivienda protegida, otorgando, en este caso, un máximo de 10 puntos. </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1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Ninguno" w:customStyle="1">
    <w:name w:val="Ninguno"/>
    <w:qFormat/>
    <w:rPr>
      <w:lang w:val="es-ES_tradnl"/>
    </w:rPr>
  </w:style>
  <w:style w:type="character" w:styleId="Fuentedeprrafopredeter2" w:customStyle="1">
    <w:name w:val="Fuente de párrafo predeter.2"/>
    <w:qFormat/>
    <w:rPr/>
  </w:style>
  <w:style w:type="character" w:styleId="Fuentedeprrafopredeter">
    <w:name w:val="Fuente de párrafo predeter."/>
    <w:qFormat/>
    <w:rPr/>
  </w:style>
  <w:style w:type="character" w:styleId="Emphasis">
    <w:name w:val="Emphasis"/>
    <w:basedOn w:val="Fuentedeprrafopredeter"/>
    <w:qFormat/>
    <w:rPr>
      <w:i/>
      <w:iCs/>
    </w:rPr>
  </w:style>
  <w:style w:type="character" w:styleId="St">
    <w:name w:val="st"/>
    <w:basedOn w:val="Fuentedeprrafopredeter"/>
    <w:qFormat/>
    <w:rPr/>
  </w:style>
  <w:style w:type="character" w:styleId="FollowedHyperlink">
    <w:name w:val="FollowedHyperlink"/>
    <w:rPr>
      <w:color w:val="8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Citaenbloque" w:customStyle="1">
    <w:name w:val="Cita en bloque"/>
    <w:basedOn w:val="Normal"/>
    <w:qFormat/>
    <w:pPr>
      <w:spacing w:before="0" w:after="283"/>
      <w:ind w:left="567" w:right="567"/>
    </w:pPr>
    <w:rPr/>
  </w:style>
  <w:style w:type="paragraph" w:styleId="Caption11" w:customStyle="1">
    <w:name w:val="caption11"/>
    <w:basedOn w:val="Normal"/>
    <w:qFormat/>
    <w:pPr>
      <w:suppressLineNumbers/>
      <w:spacing w:before="120" w:after="120"/>
    </w:pPr>
    <w:rPr>
      <w:rFonts w:cs="Arial"/>
      <w:i/>
      <w:iCs/>
    </w:rPr>
  </w:style>
  <w:style w:type="paragraph" w:styleId="Caption12" w:customStyle="1">
    <w:name w:val="caption12"/>
    <w:basedOn w:val="Normal"/>
    <w:qFormat/>
    <w:pPr>
      <w:suppressLineNumbers/>
      <w:spacing w:before="120" w:after="120"/>
    </w:pPr>
    <w:rPr>
      <w:rFonts w:cs="Arial"/>
      <w:i/>
      <w:iCs/>
    </w:rPr>
  </w:style>
  <w:style w:type="paragraph" w:styleId="Contenidodelmarco">
    <w:name w:val="Contenido del marco"/>
    <w:basedOn w:val="Normal"/>
    <w:qFormat/>
    <w:pPr/>
    <w:rPr/>
  </w:style>
  <w:style w:type="paragraph" w:styleId="Textopreformateado">
    <w:name w:val="Texto preformateado"/>
    <w:basedOn w:val="Normal"/>
    <w:qFormat/>
    <w:pPr/>
    <w:rPr>
      <w:rFonts w:ascii="Liberation Mono" w:hAnsi="Liberation Mono" w:cs="Liberation Mono"/>
      <w:sz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802</TotalTime>
  <Application>LibreOffice/7.6.7.2$Windows_X86_64 LibreOffice_project/dd47e4b30cb7dab30588d6c79c651f218165e3c5</Application>
  <AppVersion>15.0000</AppVersion>
  <Pages>1</Pages>
  <Words>400</Words>
  <Characters>2053</Characters>
  <CharactersWithSpaces>2454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2025-11-10T13:07:09Z</cp:lastPrinted>
  <dcterms:modified xsi:type="dcterms:W3CDTF">2025-11-21T08:02:53Z</dcterms:modified>
  <cp:revision>113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