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68" w:rsidRDefault="00EF6B9C">
      <w:pPr>
        <w:pStyle w:val="NormalWeb"/>
        <w:textAlignment w:val="baseline"/>
      </w:pPr>
      <w:r>
        <w:rPr>
          <w:rFonts w:ascii="Arial Narrow" w:hAnsi="Arial Narrow"/>
          <w:b/>
          <w:bCs/>
          <w:color w:val="000000"/>
          <w:sz w:val="40"/>
          <w:szCs w:val="40"/>
        </w:rPr>
        <w:t xml:space="preserve">El Pleno autoriza nuevas actividades en la Finca Bolaños destinadas a mejorar la gestión de los residuos </w:t>
      </w:r>
    </w:p>
    <w:p w:rsidR="007C3668" w:rsidRDefault="007C3668">
      <w:pPr>
        <w:pStyle w:val="NormalWeb"/>
        <w:jc w:val="both"/>
        <w:textAlignment w:val="baseline"/>
        <w:rPr>
          <w:rFonts w:ascii="Arial Narrow" w:hAnsi="Arial Narrow"/>
          <w:sz w:val="32"/>
          <w:szCs w:val="32"/>
        </w:rPr>
      </w:pPr>
    </w:p>
    <w:p w:rsidR="007C3668" w:rsidRDefault="00EF6B9C">
      <w:pPr>
        <w:pStyle w:val="NormalWeb"/>
        <w:jc w:val="both"/>
        <w:textAlignment w:val="baseline"/>
      </w:pPr>
      <w:r>
        <w:rPr>
          <w:rFonts w:ascii="Arial Narrow" w:hAnsi="Arial Narrow"/>
          <w:color w:val="000000"/>
          <w:sz w:val="32"/>
          <w:szCs w:val="32"/>
        </w:rPr>
        <w:t>Luz verde al Proyecto de Actuación solicitado por la empresa Valoriza Servicios Medioambientales SA para</w:t>
      </w:r>
      <w:r>
        <w:rPr>
          <w:rFonts w:ascii="Arial Narrow" w:hAnsi="Arial Narrow"/>
          <w:color w:val="000000"/>
          <w:sz w:val="32"/>
          <w:szCs w:val="32"/>
        </w:rPr>
        <w:t xml:space="preserve"> la implantación de una planta valorización de plásticos y de otras actividades complementarias</w:t>
      </w:r>
    </w:p>
    <w:p w:rsidR="007C3668" w:rsidRDefault="007C3668">
      <w:pPr>
        <w:pStyle w:val="NormalWeb"/>
        <w:jc w:val="both"/>
        <w:textAlignment w:val="baseline"/>
        <w:rPr>
          <w:rFonts w:ascii="Arial Narrow" w:hAnsi="Arial Narrow"/>
        </w:rPr>
      </w:pPr>
    </w:p>
    <w:p w:rsidR="007C3668" w:rsidRDefault="00EF6B9C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28 de noviembre de 2025</w:t>
      </w:r>
      <w:r>
        <w:rPr>
          <w:rFonts w:ascii="Arial Narrow" w:hAnsi="Arial Narrow"/>
          <w:color w:val="000000"/>
          <w:sz w:val="26"/>
          <w:szCs w:val="26"/>
        </w:rPr>
        <w:t>. El Pleno ha aprobado el Proyecto de Actuación solicitado por la empresa Valoriza Servicios Medioambientales SA, consistente en la impl</w:t>
      </w:r>
      <w:r>
        <w:rPr>
          <w:rFonts w:ascii="Arial Narrow" w:hAnsi="Arial Narrow"/>
          <w:color w:val="000000"/>
          <w:sz w:val="26"/>
          <w:szCs w:val="26"/>
        </w:rPr>
        <w:t>antación, en sus instalaciones en la zona conocida como Dehesa de Bolaño</w:t>
      </w:r>
      <w:r>
        <w:rPr>
          <w:rFonts w:ascii="Arial Narrow" w:hAnsi="Arial Narrow"/>
          <w:sz w:val="26"/>
          <w:szCs w:val="26"/>
        </w:rPr>
        <w:t>s, de  nuevas actividades destinadas a mejorar la gestión de residuos orgánicos y plásticos. Este expediente se sometió al correspondiente periodo de exposición pública sin que se haya</w:t>
      </w:r>
      <w:r>
        <w:rPr>
          <w:rFonts w:ascii="Arial Narrow" w:hAnsi="Arial Narrow"/>
          <w:sz w:val="26"/>
          <w:szCs w:val="26"/>
        </w:rPr>
        <w:t xml:space="preserve">n presentado alegaciones. El asunto ha contado con los votos favorables de PP y Vox, y en contra de PSOE y La Confluencia. </w:t>
      </w:r>
    </w:p>
    <w:p w:rsidR="007C3668" w:rsidRDefault="007C3668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7C3668" w:rsidRDefault="00EF6B9C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de Vivienda y Urbanismo, Belén de la Cuadra, ha explicado que esta actividad ya se inició parcialmente con una licencia</w:t>
      </w:r>
      <w:r>
        <w:rPr>
          <w:rFonts w:ascii="Arial Narrow" w:hAnsi="Arial Narrow"/>
          <w:sz w:val="26"/>
          <w:szCs w:val="26"/>
        </w:rPr>
        <w:t xml:space="preserve"> provisional otorgada por el anterior Gobierno. “Transcurrido el plazo de esa licencia provisional, quisieron solicitar una licencia permanente “que no se pudo conceder por problemas con la calificación del suelo; por este motivo, se tramitó una modificaci</w:t>
      </w:r>
      <w:r>
        <w:rPr>
          <w:rFonts w:ascii="Arial Narrow" w:hAnsi="Arial Narrow"/>
          <w:sz w:val="26"/>
          <w:szCs w:val="26"/>
        </w:rPr>
        <w:t xml:space="preserve">ón puntual del PGOU, aprobada en mayo de este año, que tuvo como objeto </w:t>
      </w:r>
      <w:r>
        <w:rPr>
          <w:rFonts w:ascii="Arial Narrow" w:hAnsi="Arial Narrow"/>
          <w:spacing w:val="-4"/>
          <w:sz w:val="26"/>
          <w:szCs w:val="26"/>
          <w:lang w:val="es-MX"/>
        </w:rPr>
        <w:t>eliminar la</w:t>
      </w:r>
      <w:r>
        <w:rPr>
          <w:rFonts w:ascii="Arial Narrow" w:hAnsi="Arial Narrow"/>
          <w:spacing w:val="-4"/>
          <w:sz w:val="26"/>
          <w:szCs w:val="26"/>
        </w:rPr>
        <w:t xml:space="preserve"> </w:t>
      </w:r>
      <w:r>
        <w:rPr>
          <w:rFonts w:ascii="Arial Narrow" w:hAnsi="Arial Narrow"/>
          <w:spacing w:val="-4"/>
          <w:sz w:val="26"/>
          <w:szCs w:val="26"/>
          <w:lang w:val="es-MX"/>
        </w:rPr>
        <w:t>calificación de Sistema General (l</w:t>
      </w:r>
      <w:r>
        <w:rPr>
          <w:rFonts w:ascii="Arial Narrow" w:hAnsi="Arial Narrow"/>
          <w:spacing w:val="-4"/>
          <w:sz w:val="26"/>
          <w:szCs w:val="26"/>
          <w:lang w:val="es-ES_tradnl"/>
        </w:rPr>
        <w:t>os sistemas generales incluyen</w:t>
      </w:r>
      <w:r>
        <w:rPr>
          <w:rFonts w:ascii="Arial Narrow" w:hAnsi="Arial Narrow"/>
          <w:spacing w:val="-3"/>
          <w:kern w:val="2"/>
          <w:sz w:val="26"/>
          <w:szCs w:val="26"/>
          <w:lang w:val="es-MX"/>
        </w:rPr>
        <w:t xml:space="preserve"> dotaciones que dan servicio a toda la ciudad) </w:t>
      </w:r>
      <w:r>
        <w:rPr>
          <w:rFonts w:ascii="Arial Narrow" w:hAnsi="Arial Narrow"/>
          <w:spacing w:val="-4"/>
          <w:sz w:val="26"/>
          <w:szCs w:val="26"/>
          <w:lang w:val="es-MX"/>
        </w:rPr>
        <w:t xml:space="preserve">en dos parcelas situadas en Suelo no Urbanizable que son propiedad de la citada sociedad, quedando ambas como Suelo Rústico. </w:t>
      </w:r>
    </w:p>
    <w:p w:rsidR="007C3668" w:rsidRDefault="007C3668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7C3668" w:rsidRDefault="00EF6B9C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Así pues, esta modificación del PGOU ha permitido a la empresa presentar este Proyecto de Actuación </w:t>
      </w:r>
      <w:r>
        <w:rPr>
          <w:rFonts w:ascii="Arial Narrow" w:hAnsi="Arial Narrow"/>
          <w:spacing w:val="-4"/>
          <w:sz w:val="26"/>
          <w:szCs w:val="26"/>
          <w:lang w:val="es-MX"/>
        </w:rPr>
        <w:t>con el que</w:t>
      </w:r>
      <w:r>
        <w:rPr>
          <w:rFonts w:ascii="Arial Narrow" w:hAnsi="Arial Narrow"/>
          <w:spacing w:val="-4"/>
          <w:sz w:val="26"/>
          <w:szCs w:val="26"/>
          <w:lang w:val="es-ES_tradnl"/>
        </w:rPr>
        <w:t xml:space="preserve"> esta entidad podrá</w:t>
      </w:r>
      <w:r>
        <w:rPr>
          <w:rFonts w:ascii="Arial Narrow" w:hAnsi="Arial Narrow"/>
          <w:spacing w:val="-4"/>
          <w:sz w:val="26"/>
          <w:szCs w:val="26"/>
          <w:lang w:val="es-ES_tradnl"/>
        </w:rPr>
        <w:t xml:space="preserve"> culminar la tramitación de la  licencia urbanística de cada proyecto que se pretenda poner en marcha. </w:t>
      </w:r>
    </w:p>
    <w:p w:rsidR="007C3668" w:rsidRDefault="007C3668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7C3668" w:rsidRDefault="00EF6B9C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pacing w:val="-4"/>
          <w:sz w:val="26"/>
          <w:szCs w:val="26"/>
          <w:lang w:val="es-ES_tradnl"/>
        </w:rPr>
        <w:t>Tal y como ha explicado la delegada municipal, las actividades que pretenden implantarse en la finca Bolaños son incompatibles con el medio urbano, y p</w:t>
      </w:r>
      <w:r>
        <w:rPr>
          <w:rFonts w:ascii="Arial Narrow" w:hAnsi="Arial Narrow"/>
          <w:spacing w:val="-4"/>
          <w:sz w:val="26"/>
          <w:szCs w:val="26"/>
          <w:lang w:val="es-ES_tradnl"/>
        </w:rPr>
        <w:t xml:space="preserve">or tanto, precisan implantarse en el suelo rústico; asimismo, en el expediente se hace constar que, si bien estas actividades son incompatibles con el medio urbano, tienen componentes que la pudieran hacer merecedoras de su reconocimiento como actuaciones </w:t>
      </w:r>
      <w:r>
        <w:rPr>
          <w:rFonts w:ascii="Arial Narrow" w:hAnsi="Arial Narrow"/>
          <w:spacing w:val="-4"/>
          <w:sz w:val="26"/>
          <w:szCs w:val="26"/>
          <w:lang w:val="es-ES_tradnl"/>
        </w:rPr>
        <w:t xml:space="preserve">de interés social. </w:t>
      </w:r>
    </w:p>
    <w:p w:rsidR="007C3668" w:rsidRDefault="007C3668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7C3668" w:rsidRDefault="007C3668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7C3668" w:rsidRDefault="007C3668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7C3668" w:rsidRDefault="007C3668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7C3668" w:rsidRPr="00EF6B9C" w:rsidRDefault="00EF6B9C">
      <w:pPr>
        <w:pStyle w:val="NormalWeb"/>
        <w:jc w:val="both"/>
        <w:textAlignment w:val="baseline"/>
        <w:rPr>
          <w:rFonts w:ascii="Arial Narrow" w:hAnsi="Arial Narrow"/>
          <w:sz w:val="28"/>
          <w:szCs w:val="26"/>
        </w:rPr>
      </w:pPr>
      <w:r w:rsidRPr="00EF6B9C">
        <w:rPr>
          <w:rFonts w:ascii="Arial Narrow" w:hAnsi="Arial Narrow" w:cs="Arial"/>
          <w:b/>
          <w:bCs/>
          <w:sz w:val="28"/>
          <w:szCs w:val="26"/>
        </w:rPr>
        <w:lastRenderedPageBreak/>
        <w:t>Cesión de un local a la Diócesis de Jerez</w:t>
      </w:r>
    </w:p>
    <w:p w:rsidR="007C3668" w:rsidRDefault="007C3668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7C3668" w:rsidRDefault="00EF6B9C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pacing w:val="-3"/>
          <w:sz w:val="26"/>
          <w:szCs w:val="26"/>
        </w:rPr>
        <w:t>El Pleno ha aprobado la cesión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bCs/>
          <w:sz w:val="26"/>
          <w:szCs w:val="26"/>
        </w:rPr>
        <w:t>cesión</w:t>
      </w:r>
      <w:proofErr w:type="spellEnd"/>
      <w:r>
        <w:rPr>
          <w:rFonts w:ascii="Arial Narrow" w:hAnsi="Arial Narrow" w:cs="Arial"/>
          <w:bCs/>
          <w:sz w:val="26"/>
          <w:szCs w:val="26"/>
        </w:rPr>
        <w:t xml:space="preserve"> de uso temporal, por un plazo de 30 años y con carácter gratuito, de un</w:t>
      </w:r>
      <w:r>
        <w:rPr>
          <w:rFonts w:ascii="Arial Narrow" w:hAnsi="Arial Narrow" w:cs="Century Gothic"/>
          <w:bCs/>
          <w:sz w:val="26"/>
          <w:szCs w:val="26"/>
          <w:lang w:val="es-ES_tradnl"/>
        </w:rPr>
        <w:t xml:space="preserve"> </w:t>
      </w:r>
      <w:r>
        <w:rPr>
          <w:rFonts w:ascii="Arial Narrow" w:eastAsia="Times New Roman" w:hAnsi="Arial Narrow" w:cs="Century Gothic"/>
          <w:bCs/>
          <w:spacing w:val="-3"/>
          <w:sz w:val="26"/>
          <w:szCs w:val="26"/>
          <w:lang w:val="es-ES_tradnl" w:eastAsia="zh-CN"/>
        </w:rPr>
        <w:t>local de propiedad</w:t>
      </w:r>
      <w:bookmarkStart w:id="0" w:name="_GoBack"/>
      <w:bookmarkEnd w:id="0"/>
      <w:r>
        <w:rPr>
          <w:rFonts w:ascii="Arial Narrow" w:eastAsia="Times New Roman" w:hAnsi="Arial Narrow" w:cs="Century Gothic"/>
          <w:bCs/>
          <w:spacing w:val="-3"/>
          <w:sz w:val="26"/>
          <w:szCs w:val="26"/>
          <w:lang w:val="es-ES_tradnl" w:eastAsia="zh-CN"/>
        </w:rPr>
        <w:t xml:space="preserve"> municipal situado en la barriada de la Granja a la Diócesis</w:t>
      </w:r>
      <w:r>
        <w:rPr>
          <w:rFonts w:ascii="Arial Narrow" w:eastAsia="Times New Roman" w:hAnsi="Arial Narrow" w:cs="Century Gothic"/>
          <w:bCs/>
          <w:spacing w:val="-3"/>
          <w:sz w:val="26"/>
          <w:szCs w:val="26"/>
          <w:lang w:val="es-ES_tradnl" w:eastAsia="zh-CN"/>
        </w:rPr>
        <w:t xml:space="preserve"> de </w:t>
      </w:r>
      <w:proofErr w:type="spellStart"/>
      <w:r>
        <w:rPr>
          <w:rFonts w:ascii="Arial Narrow" w:eastAsia="Times New Roman" w:hAnsi="Arial Narrow" w:cs="Century Gothic"/>
          <w:bCs/>
          <w:spacing w:val="-3"/>
          <w:sz w:val="26"/>
          <w:szCs w:val="26"/>
          <w:lang w:val="es-ES_tradnl" w:eastAsia="zh-CN"/>
        </w:rPr>
        <w:t>Asidonia</w:t>
      </w:r>
      <w:proofErr w:type="spellEnd"/>
      <w:r>
        <w:rPr>
          <w:rFonts w:ascii="Arial Narrow" w:eastAsia="Times New Roman" w:hAnsi="Arial Narrow" w:cs="Century Gothic"/>
          <w:bCs/>
          <w:spacing w:val="-3"/>
          <w:sz w:val="26"/>
          <w:szCs w:val="26"/>
          <w:lang w:val="es-ES_tradnl" w:eastAsia="zh-CN"/>
        </w:rPr>
        <w:t xml:space="preserve">-Jerez, que lo había solicitado para la realización de actividades </w:t>
      </w:r>
      <w:r>
        <w:rPr>
          <w:rFonts w:ascii="Arial Narrow" w:eastAsia="Times New Roman" w:hAnsi="Arial Narrow" w:cs="Century Gothic"/>
          <w:bCs/>
          <w:color w:val="000000"/>
          <w:spacing w:val="-3"/>
          <w:sz w:val="26"/>
          <w:szCs w:val="26"/>
          <w:lang w:eastAsia="zh-CN"/>
        </w:rPr>
        <w:t xml:space="preserve">encaminadas al cumplimiento de los fines de la Iglesia Católica. </w:t>
      </w:r>
    </w:p>
    <w:p w:rsidR="007C3668" w:rsidRDefault="007C3668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7C3668" w:rsidRDefault="00EF6B9C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Century Gothic"/>
          <w:bCs/>
          <w:spacing w:val="-3"/>
          <w:sz w:val="26"/>
          <w:szCs w:val="26"/>
          <w:lang w:val="es-ES_tradnl" w:eastAsia="zh-CN"/>
        </w:rPr>
        <w:t xml:space="preserve">El local en cuestión tiene una superficie de </w:t>
      </w:r>
      <w:r>
        <w:rPr>
          <w:rFonts w:ascii="Arial Narrow" w:eastAsia="Times New Roman" w:hAnsi="Arial Narrow" w:cs="Century Gothic"/>
          <w:bCs/>
          <w:color w:val="000000"/>
          <w:spacing w:val="-3"/>
          <w:sz w:val="26"/>
          <w:szCs w:val="26"/>
          <w:lang w:eastAsia="zh-CN"/>
        </w:rPr>
        <w:t xml:space="preserve"> 65,75 metros cuadrados y está ubicado en la Plaza Eduardo </w:t>
      </w:r>
      <w:proofErr w:type="spellStart"/>
      <w:r>
        <w:rPr>
          <w:rFonts w:ascii="Arial Narrow" w:eastAsia="Times New Roman" w:hAnsi="Arial Narrow" w:cs="Century Gothic"/>
          <w:bCs/>
          <w:color w:val="000000"/>
          <w:spacing w:val="-3"/>
          <w:sz w:val="26"/>
          <w:szCs w:val="26"/>
          <w:lang w:eastAsia="zh-CN"/>
        </w:rPr>
        <w:t>Chilli</w:t>
      </w:r>
      <w:r>
        <w:rPr>
          <w:rFonts w:ascii="Arial Narrow" w:eastAsia="Times New Roman" w:hAnsi="Arial Narrow" w:cs="Century Gothic"/>
          <w:bCs/>
          <w:color w:val="000000"/>
          <w:spacing w:val="-3"/>
          <w:sz w:val="26"/>
          <w:szCs w:val="26"/>
          <w:lang w:eastAsia="zh-CN"/>
        </w:rPr>
        <w:t>da</w:t>
      </w:r>
      <w:proofErr w:type="spellEnd"/>
      <w:r>
        <w:rPr>
          <w:rFonts w:ascii="Arial Narrow" w:eastAsia="Times New Roman" w:hAnsi="Arial Narrow" w:cs="Century Gothic"/>
          <w:bCs/>
          <w:color w:val="000000"/>
          <w:spacing w:val="-3"/>
          <w:sz w:val="26"/>
          <w:szCs w:val="26"/>
          <w:lang w:eastAsia="zh-CN"/>
        </w:rPr>
        <w:t xml:space="preserve">, en el edificio Siglo XXI, bloque 2; </w:t>
      </w:r>
      <w:r>
        <w:rPr>
          <w:rFonts w:ascii="Arial Narrow" w:hAnsi="Arial Narrow" w:cs="Arial"/>
          <w:sz w:val="26"/>
          <w:szCs w:val="26"/>
          <w:lang w:eastAsia="zh-CN"/>
        </w:rPr>
        <w:t xml:space="preserve"> se encuentra actualmente sin adaptar, incluso su fachada, que está constituida por un cerramiento de ladrillo sin enfoscar y una puerta peatonal de acceso de acero. </w:t>
      </w:r>
    </w:p>
    <w:p w:rsidR="007C3668" w:rsidRDefault="007C3668">
      <w:pPr>
        <w:tabs>
          <w:tab w:val="left" w:pos="-720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</w:p>
    <w:p w:rsidR="007C3668" w:rsidRPr="00EF6B9C" w:rsidRDefault="00EF6B9C">
      <w:pPr>
        <w:jc w:val="both"/>
        <w:rPr>
          <w:rFonts w:ascii="Arial Narrow" w:hAnsi="Arial Narrow"/>
          <w:sz w:val="28"/>
          <w:szCs w:val="26"/>
        </w:rPr>
      </w:pPr>
      <w:r w:rsidRPr="00EF6B9C">
        <w:rPr>
          <w:rFonts w:ascii="Arial Narrow" w:hAnsi="Arial Narrow" w:cs="Arial"/>
          <w:b/>
          <w:bCs/>
          <w:sz w:val="28"/>
          <w:szCs w:val="26"/>
        </w:rPr>
        <w:t>Nombramientos en el TEAJE</w:t>
      </w:r>
    </w:p>
    <w:p w:rsidR="007C3668" w:rsidRDefault="007C3668">
      <w:pPr>
        <w:jc w:val="both"/>
        <w:rPr>
          <w:rFonts w:cs="Arial"/>
          <w:b/>
          <w:bCs/>
        </w:rPr>
      </w:pPr>
    </w:p>
    <w:p w:rsidR="007C3668" w:rsidRDefault="00EF6B9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Por otro lado, se ha aprobado la propuesta de nombramiento  de nuevos miembros del Tribunal Económico-Administrativo del Ayuntamiento de Jerez (TEAJE): vocal-secretaria, Ana Segovia Jiménez; vocal, María Arellano Ruiz; y suplente, Ignacio Soto Gallardo. </w:t>
      </w:r>
    </w:p>
    <w:p w:rsidR="007C3668" w:rsidRDefault="007C3668">
      <w:pPr>
        <w:jc w:val="both"/>
        <w:rPr>
          <w:rFonts w:cs="Arial"/>
        </w:rPr>
      </w:pPr>
    </w:p>
    <w:p w:rsidR="007C3668" w:rsidRDefault="00EF6B9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El TEAJE es el</w:t>
      </w:r>
      <w:r>
        <w:rPr>
          <w:rFonts w:ascii="Arial Narrow" w:hAnsi="Arial Narrow" w:cs="Arial"/>
          <w:color w:val="000000"/>
          <w:sz w:val="26"/>
          <w:szCs w:val="26"/>
        </w:rPr>
        <w:t xml:space="preserve"> órgano específico para la resolución de las reclamaciones económico–administrativas con competencia para resolver sobre actos de gestión, liquidación, recaudación e inspección de tributos e ingresos de derecho público, que sean competencia m</w:t>
      </w:r>
      <w:r>
        <w:rPr>
          <w:rFonts w:ascii="Arial Narrow" w:hAnsi="Arial Narrow" w:cs="Arial"/>
          <w:color w:val="000000"/>
          <w:sz w:val="26"/>
          <w:szCs w:val="26"/>
        </w:rPr>
        <w:t xml:space="preserve">unicipal; el dictamen sobre los proyectos de ordenanzas fiscales; así como la elaboración de estudios y propuestas en materia tributaria cuando sea requerido por los órganos municipales competentes en dicha materia. </w:t>
      </w:r>
    </w:p>
    <w:p w:rsidR="007C3668" w:rsidRDefault="00EF6B9C">
      <w:pPr>
        <w:ind w:right="170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:rsidR="007C3668" w:rsidRDefault="007C3668">
      <w:pPr>
        <w:jc w:val="both"/>
        <w:rPr>
          <w:rFonts w:ascii="Arial Narrow" w:hAnsi="Arial Narrow" w:cs="Arial"/>
        </w:rPr>
      </w:pPr>
    </w:p>
    <w:p w:rsidR="007C3668" w:rsidRDefault="007C3668">
      <w:pPr>
        <w:pStyle w:val="Sinespaciado"/>
        <w:spacing w:before="120"/>
        <w:jc w:val="both"/>
        <w:rPr>
          <w:rFonts w:ascii="Arial Narrow" w:hAnsi="Arial Narrow" w:cs="Arial"/>
          <w:b/>
          <w:szCs w:val="24"/>
          <w:lang w:val="es-ES"/>
        </w:rPr>
      </w:pPr>
    </w:p>
    <w:sectPr w:rsidR="007C366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6B9C">
      <w:r>
        <w:separator/>
      </w:r>
    </w:p>
  </w:endnote>
  <w:endnote w:type="continuationSeparator" w:id="0">
    <w:p w:rsidR="00000000" w:rsidRDefault="00EF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6B9C">
      <w:r>
        <w:separator/>
      </w:r>
    </w:p>
  </w:footnote>
  <w:footnote w:type="continuationSeparator" w:id="0">
    <w:p w:rsidR="00000000" w:rsidRDefault="00EF6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68" w:rsidRDefault="00EF6B9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3668" w:rsidRDefault="007C36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68"/>
    <w:rsid w:val="007C3668"/>
    <w:rsid w:val="00E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75FBF-D0C0-484C-81E8-5DF5250B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styleId="Sinespaciado">
    <w:name w:val="No Spacing"/>
    <w:qFormat/>
    <w:rPr>
      <w:rFonts w:ascii="Times" w:eastAsia="Times" w:hAnsi="Times" w:cs="Times New Roman"/>
      <w:color w:val="00000A"/>
      <w:kern w:val="2"/>
      <w:szCs w:val="20"/>
      <w:lang w:val="en-US" w:eastAsia="es-ES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565</Words>
  <Characters>3112</Characters>
  <Application>Microsoft Office Word</Application>
  <DocSecurity>0</DocSecurity>
  <Lines>25</Lines>
  <Paragraphs>7</Paragraphs>
  <ScaleCrop>false</ScaleCrop>
  <Company>Aytojerez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15</cp:revision>
  <cp:lastPrinted>2025-11-28T11:39:00Z</cp:lastPrinted>
  <dcterms:created xsi:type="dcterms:W3CDTF">2025-11-25T22:54:00Z</dcterms:created>
  <dcterms:modified xsi:type="dcterms:W3CDTF">2025-11-28T10:57:00Z</dcterms:modified>
  <dc:language>es-ES</dc:language>
</cp:coreProperties>
</file>