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C69" w:rsidRPr="00D74300" w:rsidRDefault="00AD295E">
      <w:pPr>
        <w:pStyle w:val="Textoindependiente"/>
        <w:spacing w:after="0" w:line="240" w:lineRule="auto"/>
        <w:rPr>
          <w:rFonts w:ascii="Arial Narrow" w:hAnsi="Arial Narrow"/>
          <w:sz w:val="40"/>
          <w:szCs w:val="40"/>
        </w:rPr>
      </w:pPr>
      <w:r>
        <w:rPr>
          <w:rFonts w:ascii="Arial Narrow" w:hAnsi="Arial Narrow" w:cs="Trebuchet MS"/>
          <w:b/>
          <w:bCs/>
          <w:color w:val="000000"/>
          <w:sz w:val="40"/>
          <w:szCs w:val="40"/>
          <w:lang w:eastAsia="es-ES_tradnl"/>
        </w:rPr>
        <w:t>El Ayuntamiento amplía la oferta de talleres promovidos por la Delegación de Inclusión Social</w:t>
      </w:r>
    </w:p>
    <w:p w:rsidR="00B03C69" w:rsidRDefault="00B03C69">
      <w:pPr>
        <w:pStyle w:val="Textoindependiente"/>
        <w:spacing w:after="0" w:line="240" w:lineRule="auto"/>
        <w:rPr>
          <w:sz w:val="22"/>
        </w:rPr>
      </w:pPr>
    </w:p>
    <w:p w:rsidR="00B03C69" w:rsidRPr="002E15A0" w:rsidRDefault="00AD295E">
      <w:pPr>
        <w:pStyle w:val="Textoindependiente"/>
        <w:spacing w:after="0" w:line="240" w:lineRule="auto"/>
        <w:rPr>
          <w:rFonts w:ascii="Arial Narrow" w:hAnsi="Arial Narrow"/>
          <w:sz w:val="32"/>
          <w:szCs w:val="36"/>
        </w:rPr>
      </w:pPr>
      <w:proofErr w:type="spellStart"/>
      <w:r w:rsidRPr="002E15A0">
        <w:rPr>
          <w:rFonts w:ascii="Arial Narrow" w:hAnsi="Arial Narrow" w:cs="Trebuchet MS"/>
          <w:color w:val="000000"/>
          <w:sz w:val="32"/>
          <w:szCs w:val="36"/>
        </w:rPr>
        <w:t>Yessika</w:t>
      </w:r>
      <w:proofErr w:type="spellEnd"/>
      <w:r w:rsidRPr="002E15A0">
        <w:rPr>
          <w:rFonts w:ascii="Arial Narrow" w:hAnsi="Arial Narrow" w:cs="Trebuchet MS"/>
          <w:color w:val="000000"/>
          <w:sz w:val="32"/>
          <w:szCs w:val="36"/>
        </w:rPr>
        <w:t xml:space="preserve"> Quintero explica que se ha modificado la ordenanza para "priorizar que haya más personas que puedan acceder al programa de envejecimiento activo en condiciones de igualdad"</w:t>
      </w:r>
    </w:p>
    <w:p w:rsidR="00B03C69" w:rsidRDefault="00B03C69">
      <w:pPr>
        <w:pStyle w:val="Textoindependiente"/>
        <w:spacing w:after="0" w:line="240" w:lineRule="auto"/>
        <w:rPr>
          <w:rFonts w:ascii="Arial" w:hAnsi="Arial" w:cs="Trebuchet MS"/>
          <w:b/>
          <w:bCs/>
          <w:color w:val="000000"/>
          <w:sz w:val="32"/>
          <w:szCs w:val="32"/>
        </w:rPr>
      </w:pPr>
    </w:p>
    <w:p w:rsidR="005B15BA" w:rsidRPr="002E15A0" w:rsidRDefault="005B15BA" w:rsidP="005B15BA">
      <w:pPr>
        <w:tabs>
          <w:tab w:val="left" w:pos="663"/>
        </w:tabs>
        <w:jc w:val="both"/>
        <w:rPr>
          <w:rFonts w:ascii="Arial Narrow" w:hAnsi="Arial Narrow" w:cs="Arial"/>
          <w:color w:val="000000" w:themeColor="text1"/>
          <w:sz w:val="26"/>
          <w:szCs w:val="26"/>
        </w:rPr>
      </w:pPr>
      <w:r>
        <w:rPr>
          <w:rFonts w:ascii="Arial Narrow" w:hAnsi="Arial Narrow" w:cs="Arial"/>
          <w:b/>
          <w:bCs/>
          <w:sz w:val="26"/>
          <w:szCs w:val="26"/>
        </w:rPr>
        <w:t>19</w:t>
      </w:r>
      <w:r w:rsidR="00C13B38">
        <w:rPr>
          <w:rFonts w:ascii="Arial Narrow" w:hAnsi="Arial Narrow" w:cs="Arial"/>
          <w:b/>
          <w:bCs/>
          <w:sz w:val="26"/>
          <w:szCs w:val="26"/>
        </w:rPr>
        <w:t xml:space="preserve"> diciembre de 2025</w:t>
      </w:r>
      <w:r w:rsidR="00EE7904">
        <w:rPr>
          <w:rFonts w:ascii="Arial Narrow" w:hAnsi="Arial Narrow" w:cs="Arial"/>
          <w:sz w:val="26"/>
          <w:szCs w:val="26"/>
        </w:rPr>
        <w:t xml:space="preserve">. </w:t>
      </w:r>
      <w:bookmarkStart w:id="0" w:name="page3R_mcid22"/>
      <w:bookmarkStart w:id="1" w:name="page3R_mcid23"/>
      <w:r>
        <w:rPr>
          <w:rFonts w:ascii="Arial Narrow" w:hAnsi="Arial Narrow" w:cs="Arial"/>
          <w:sz w:val="26"/>
          <w:szCs w:val="26"/>
        </w:rPr>
        <w:t xml:space="preserve"> </w:t>
      </w:r>
      <w:r w:rsidRPr="002E15A0">
        <w:rPr>
          <w:rFonts w:ascii="Arial Narrow" w:hAnsi="Arial Narrow" w:cstheme="majorHAnsi"/>
          <w:color w:val="000000" w:themeColor="text1"/>
          <w:spacing w:val="-3"/>
          <w:sz w:val="26"/>
          <w:szCs w:val="26"/>
          <w:shd w:val="clear" w:color="auto" w:fill="FFFFFF"/>
        </w:rPr>
        <w:t>El Pleno ha aprobado de manera provisional la modificación de la ordenanza  reguladora de los precios públicos por la prestación de servicios o realización de actividades relacionadas con el servicio de envejecimiento activo, que oferta una serie de talleres dentro de las actividades promovidas por la Delegación de Inclusión social, Dependencia, Mayores y Familia</w:t>
      </w:r>
    </w:p>
    <w:p w:rsidR="005B15BA" w:rsidRPr="002E15A0" w:rsidRDefault="005B15BA" w:rsidP="005B15BA">
      <w:pPr>
        <w:jc w:val="both"/>
        <w:rPr>
          <w:rFonts w:ascii="Arial Narrow" w:hAnsi="Arial Narrow" w:cstheme="majorHAnsi"/>
          <w:color w:val="000000" w:themeColor="text1"/>
          <w:spacing w:val="-3"/>
          <w:sz w:val="26"/>
          <w:szCs w:val="26"/>
          <w:shd w:val="clear" w:color="auto" w:fill="FFFFFF"/>
        </w:rPr>
      </w:pPr>
    </w:p>
    <w:p w:rsidR="00587DA3" w:rsidRPr="002E15A0" w:rsidRDefault="005B15BA" w:rsidP="00587DA3">
      <w:pPr>
        <w:jc w:val="both"/>
        <w:rPr>
          <w:rFonts w:ascii="Arial Narrow" w:hAnsi="Arial Narrow" w:cstheme="majorHAnsi"/>
          <w:color w:val="000000" w:themeColor="text1"/>
          <w:spacing w:val="-3"/>
          <w:sz w:val="26"/>
          <w:szCs w:val="26"/>
          <w:shd w:val="clear" w:color="auto" w:fill="FFFFFF"/>
        </w:rPr>
      </w:pPr>
      <w:r w:rsidRPr="002E15A0">
        <w:rPr>
          <w:rFonts w:ascii="Arial Narrow" w:hAnsi="Arial Narrow" w:cstheme="majorHAnsi"/>
          <w:color w:val="000000" w:themeColor="text1"/>
          <w:spacing w:val="-3"/>
          <w:sz w:val="26"/>
          <w:szCs w:val="26"/>
          <w:shd w:val="clear" w:color="auto" w:fill="FFFFFF"/>
        </w:rPr>
        <w:t xml:space="preserve">La delegada de Inclusión Social, </w:t>
      </w:r>
      <w:proofErr w:type="spellStart"/>
      <w:r w:rsidRPr="002E15A0">
        <w:rPr>
          <w:rFonts w:ascii="Arial Narrow" w:hAnsi="Arial Narrow" w:cstheme="majorHAnsi"/>
          <w:color w:val="000000" w:themeColor="text1"/>
          <w:spacing w:val="-3"/>
          <w:sz w:val="26"/>
          <w:szCs w:val="26"/>
          <w:shd w:val="clear" w:color="auto" w:fill="FFFFFF"/>
        </w:rPr>
        <w:t>Yessika</w:t>
      </w:r>
      <w:proofErr w:type="spellEnd"/>
      <w:r w:rsidRPr="002E15A0">
        <w:rPr>
          <w:rFonts w:ascii="Arial Narrow" w:hAnsi="Arial Narrow" w:cstheme="majorHAnsi"/>
          <w:color w:val="000000" w:themeColor="text1"/>
          <w:spacing w:val="-3"/>
          <w:sz w:val="26"/>
          <w:szCs w:val="26"/>
          <w:shd w:val="clear" w:color="auto" w:fill="FFFFFF"/>
        </w:rPr>
        <w:t xml:space="preserve"> Quintero, ha señalado que esta modificación “no es significativa ya que no tiene repercusiones económicas, y únicamente se prioriza que más personas puedan acceder a este programa en condiciones de igualdad, es decir, que habrá un mayor número de personas beneficiarias de este servicio sin reducir el número de talleres</w:t>
      </w:r>
      <w:r w:rsidR="00587DA3" w:rsidRPr="002E15A0">
        <w:rPr>
          <w:rFonts w:ascii="Arial Narrow" w:hAnsi="Arial Narrow" w:cstheme="majorHAnsi"/>
          <w:color w:val="000000" w:themeColor="text1"/>
          <w:spacing w:val="-3"/>
          <w:sz w:val="26"/>
          <w:szCs w:val="26"/>
          <w:shd w:val="clear" w:color="auto" w:fill="FFFFFF"/>
        </w:rPr>
        <w:t xml:space="preserve"> y reduciendo el tiempo de espera para el acceso </w:t>
      </w:r>
      <w:r w:rsidR="008732B4" w:rsidRPr="002E15A0">
        <w:rPr>
          <w:rFonts w:ascii="Arial Narrow" w:hAnsi="Arial Narrow" w:cstheme="majorHAnsi"/>
          <w:color w:val="000000" w:themeColor="text1"/>
          <w:spacing w:val="-3"/>
          <w:sz w:val="26"/>
          <w:szCs w:val="26"/>
          <w:shd w:val="clear" w:color="auto" w:fill="FFFFFF"/>
        </w:rPr>
        <w:t>a los mismos</w:t>
      </w:r>
      <w:r w:rsidRPr="002E15A0">
        <w:rPr>
          <w:rFonts w:ascii="Arial Narrow" w:hAnsi="Arial Narrow" w:cstheme="majorHAnsi"/>
          <w:color w:val="000000" w:themeColor="text1"/>
          <w:spacing w:val="-3"/>
          <w:sz w:val="26"/>
          <w:szCs w:val="26"/>
          <w:shd w:val="clear" w:color="auto" w:fill="FFFFFF"/>
        </w:rPr>
        <w:t>”.</w:t>
      </w:r>
    </w:p>
    <w:p w:rsidR="00587DA3" w:rsidRPr="002E15A0" w:rsidRDefault="00587DA3" w:rsidP="00587DA3">
      <w:pPr>
        <w:jc w:val="both"/>
        <w:rPr>
          <w:rFonts w:ascii="Arial Narrow" w:hAnsi="Arial Narrow" w:cstheme="majorHAnsi"/>
          <w:color w:val="000000" w:themeColor="text1"/>
          <w:spacing w:val="-3"/>
          <w:sz w:val="26"/>
          <w:szCs w:val="26"/>
          <w:shd w:val="clear" w:color="auto" w:fill="FFFFFF"/>
        </w:rPr>
      </w:pPr>
    </w:p>
    <w:p w:rsidR="008732B4" w:rsidRPr="002E15A0" w:rsidRDefault="00587DA3" w:rsidP="008732B4">
      <w:pPr>
        <w:jc w:val="both"/>
        <w:rPr>
          <w:rFonts w:ascii="Arial Narrow" w:eastAsia="Arial" w:hAnsi="Arial Narrow" w:cs="Arial"/>
          <w:color w:val="000000" w:themeColor="text1"/>
          <w:sz w:val="26"/>
          <w:szCs w:val="26"/>
        </w:rPr>
      </w:pPr>
      <w:r w:rsidRPr="002E15A0">
        <w:rPr>
          <w:rFonts w:ascii="Arial Narrow" w:hAnsi="Arial Narrow" w:cstheme="majorHAnsi"/>
          <w:color w:val="000000" w:themeColor="text1"/>
          <w:spacing w:val="-3"/>
          <w:sz w:val="26"/>
          <w:szCs w:val="26"/>
          <w:shd w:val="clear" w:color="auto" w:fill="FFFFFF"/>
        </w:rPr>
        <w:t>La delegada también incide en que "</w:t>
      </w:r>
      <w:r w:rsidRPr="002E15A0">
        <w:rPr>
          <w:rFonts w:ascii="Arial Narrow" w:eastAsia="Arial" w:hAnsi="Arial Narrow" w:cs="Arial"/>
          <w:color w:val="000000" w:themeColor="text1"/>
          <w:sz w:val="26"/>
          <w:szCs w:val="26"/>
        </w:rPr>
        <w:t>e</w:t>
      </w:r>
      <w:r w:rsidR="000B6F48" w:rsidRPr="002E15A0">
        <w:rPr>
          <w:rFonts w:ascii="Arial Narrow" w:eastAsia="Arial" w:hAnsi="Arial Narrow" w:cs="Arial"/>
          <w:color w:val="000000" w:themeColor="text1"/>
          <w:sz w:val="26"/>
          <w:szCs w:val="26"/>
        </w:rPr>
        <w:t>l escenario sociodemográfico actual, marcado por el incremento de la población mayor y una mayor conciencia social sobre la necesidad de fomentar el envejecimiento saludable ha redundado en una mayor demanda de Talleres de Envejecimiento Activo, aconsejando la modificación de determinados aspectos contenidos en la regulación mencionada, que permitan alcanzar a un mayor número de personas beneficiarias así como mayores cotas de eficacia y eficiencia en la gestión</w:t>
      </w:r>
      <w:r w:rsidRPr="002E15A0">
        <w:rPr>
          <w:rFonts w:ascii="Arial Narrow" w:eastAsia="Arial" w:hAnsi="Arial Narrow" w:cs="Arial"/>
          <w:color w:val="000000" w:themeColor="text1"/>
          <w:sz w:val="26"/>
          <w:szCs w:val="26"/>
        </w:rPr>
        <w:t>"</w:t>
      </w:r>
      <w:r w:rsidR="000B6F48" w:rsidRPr="002E15A0">
        <w:rPr>
          <w:rFonts w:ascii="Arial Narrow" w:eastAsia="Arial" w:hAnsi="Arial Narrow" w:cs="Arial"/>
          <w:color w:val="000000" w:themeColor="text1"/>
          <w:sz w:val="26"/>
          <w:szCs w:val="26"/>
        </w:rPr>
        <w:t>.</w:t>
      </w:r>
    </w:p>
    <w:p w:rsidR="00D95774" w:rsidRPr="002E15A0" w:rsidRDefault="00D95774" w:rsidP="008732B4">
      <w:pPr>
        <w:jc w:val="both"/>
        <w:rPr>
          <w:rFonts w:ascii="Arial Narrow" w:eastAsia="Arial" w:hAnsi="Arial Narrow" w:cs="Arial"/>
          <w:color w:val="000000" w:themeColor="text1"/>
          <w:sz w:val="26"/>
          <w:szCs w:val="26"/>
        </w:rPr>
      </w:pPr>
    </w:p>
    <w:p w:rsidR="00D3796D" w:rsidRPr="002E15A0" w:rsidRDefault="00D3796D" w:rsidP="00D3796D">
      <w:pPr>
        <w:jc w:val="both"/>
        <w:rPr>
          <w:rFonts w:ascii="Arial Narrow" w:hAnsi="Arial Narrow" w:cstheme="majorHAnsi"/>
          <w:color w:val="000000" w:themeColor="text1"/>
          <w:spacing w:val="-3"/>
          <w:sz w:val="26"/>
          <w:szCs w:val="26"/>
          <w:shd w:val="clear" w:color="auto" w:fill="FFFFFF"/>
        </w:rPr>
      </w:pPr>
      <w:r w:rsidRPr="002E15A0">
        <w:rPr>
          <w:rFonts w:ascii="Arial Narrow" w:hAnsi="Arial Narrow" w:cstheme="majorHAnsi"/>
          <w:color w:val="000000" w:themeColor="text1"/>
          <w:spacing w:val="-3"/>
          <w:sz w:val="26"/>
          <w:szCs w:val="26"/>
          <w:shd w:val="clear" w:color="auto" w:fill="FFFFFF"/>
        </w:rPr>
        <w:t xml:space="preserve">Hay que recordar que </w:t>
      </w:r>
      <w:r w:rsidRPr="002E15A0">
        <w:rPr>
          <w:rFonts w:ascii="Arial Narrow" w:hAnsi="Arial Narrow"/>
          <w:color w:val="000000" w:themeColor="text1"/>
          <w:sz w:val="26"/>
          <w:szCs w:val="26"/>
          <w:lang w:val="es-ES_tradnl"/>
        </w:rPr>
        <w:t xml:space="preserve">pueden participar en los talleres del Programa de Envejecimiento Activo las personas residentes en Jerez que reúnan alguno de los siguientes requisitos: ser mayor de 60 años; </w:t>
      </w:r>
      <w:r w:rsidRPr="002E15A0">
        <w:rPr>
          <w:rFonts w:ascii="Arial Narrow" w:hAnsi="Arial Narrow" w:cstheme="majorHAnsi"/>
          <w:color w:val="000000" w:themeColor="text1"/>
          <w:spacing w:val="-3"/>
          <w:sz w:val="26"/>
          <w:szCs w:val="26"/>
          <w:shd w:val="clear" w:color="auto" w:fill="FFFFFF"/>
        </w:rPr>
        <w:t xml:space="preserve"> </w:t>
      </w:r>
      <w:r w:rsidRPr="002E15A0">
        <w:rPr>
          <w:rFonts w:ascii="Arial Narrow" w:hAnsi="Arial Narrow"/>
          <w:color w:val="000000" w:themeColor="text1"/>
          <w:sz w:val="26"/>
          <w:szCs w:val="26"/>
          <w:lang w:val="es-ES_tradnl"/>
        </w:rPr>
        <w:t xml:space="preserve">ser cónyuge o pareja de hecho de la persona anterior, conforme a lo previsto en la Ley 5/2002, de 16 de diciembre, de Parejas de Hecho de Andalucía; ser mayor de 55 años y acreditar situación social o de salud que justifique la necesidad de participación, a criterio de los Servicios Sociales o tener la condición de persona socia o usuaria de un Centro Municipal de Mayores. </w:t>
      </w:r>
    </w:p>
    <w:p w:rsidR="00D3796D" w:rsidRPr="002E15A0" w:rsidRDefault="00D3796D" w:rsidP="00D3796D">
      <w:pPr>
        <w:jc w:val="both"/>
        <w:rPr>
          <w:rFonts w:ascii="Arial Narrow" w:hAnsi="Arial Narrow"/>
          <w:color w:val="000000" w:themeColor="text1"/>
          <w:sz w:val="26"/>
          <w:szCs w:val="26"/>
          <w:shd w:val="clear" w:color="auto" w:fill="FFF200"/>
          <w:lang w:val="es-ES_tradnl"/>
        </w:rPr>
      </w:pPr>
    </w:p>
    <w:p w:rsidR="00D3796D" w:rsidRPr="002E15A0" w:rsidRDefault="00D3796D" w:rsidP="00D3796D">
      <w:pPr>
        <w:jc w:val="both"/>
        <w:rPr>
          <w:rFonts w:ascii="Arial Narrow" w:hAnsi="Arial Narrow"/>
          <w:color w:val="000000" w:themeColor="text1"/>
          <w:sz w:val="26"/>
          <w:szCs w:val="26"/>
          <w:lang w:val="es-ES_tradnl"/>
        </w:rPr>
      </w:pPr>
      <w:r w:rsidRPr="002E15A0">
        <w:rPr>
          <w:rFonts w:ascii="Arial Narrow" w:hAnsi="Arial Narrow"/>
          <w:color w:val="000000" w:themeColor="text1"/>
          <w:sz w:val="26"/>
          <w:szCs w:val="26"/>
          <w:lang w:val="es-ES_tradnl"/>
        </w:rPr>
        <w:t>Estarán exentos de su pago todas aquellas personas que posean la Tarjeta Oro "Junta 65" en vigor, y siempre que se mantengan los requisitos de acceso a la misma; aquellas personas que tengan una pensión no contributiva; o quien se encuentre en situación de necesidad económica derivada de cargas familiares u otras circunstancias acreditadas, según valoración de los Servicios Sociales.</w:t>
      </w:r>
    </w:p>
    <w:p w:rsidR="00D3796D" w:rsidRPr="002E15A0" w:rsidRDefault="00D3796D" w:rsidP="00D95774">
      <w:pPr>
        <w:jc w:val="both"/>
        <w:rPr>
          <w:rFonts w:ascii="Arial Narrow" w:eastAsia="Arial" w:hAnsi="Arial Narrow" w:cs="Arial"/>
          <w:color w:val="000000" w:themeColor="text1"/>
          <w:sz w:val="26"/>
          <w:szCs w:val="26"/>
        </w:rPr>
      </w:pPr>
    </w:p>
    <w:p w:rsidR="00D3796D" w:rsidRPr="002E15A0" w:rsidRDefault="00D3796D" w:rsidP="00D95774">
      <w:pPr>
        <w:jc w:val="both"/>
        <w:rPr>
          <w:rFonts w:ascii="Arial Narrow" w:eastAsia="Arial" w:hAnsi="Arial Narrow" w:cs="Arial"/>
          <w:b/>
          <w:color w:val="000000" w:themeColor="text1"/>
          <w:sz w:val="26"/>
          <w:szCs w:val="26"/>
        </w:rPr>
      </w:pPr>
      <w:r w:rsidRPr="002E15A0">
        <w:rPr>
          <w:rFonts w:ascii="Arial Narrow" w:eastAsia="Arial" w:hAnsi="Arial Narrow" w:cs="Arial"/>
          <w:b/>
          <w:color w:val="000000" w:themeColor="text1"/>
          <w:sz w:val="26"/>
          <w:szCs w:val="26"/>
        </w:rPr>
        <w:lastRenderedPageBreak/>
        <w:t>Balance muy positivo de 2025</w:t>
      </w:r>
    </w:p>
    <w:p w:rsidR="00E23DF9" w:rsidRPr="002E15A0" w:rsidRDefault="00E23DF9" w:rsidP="00D95774">
      <w:pPr>
        <w:jc w:val="both"/>
        <w:rPr>
          <w:rFonts w:ascii="Arial Narrow" w:eastAsia="Arial" w:hAnsi="Arial Narrow" w:cs="Arial"/>
          <w:color w:val="000000" w:themeColor="text1"/>
          <w:sz w:val="26"/>
          <w:szCs w:val="26"/>
        </w:rPr>
      </w:pPr>
    </w:p>
    <w:p w:rsidR="00D95774" w:rsidRPr="002E15A0" w:rsidRDefault="00D95774" w:rsidP="00D95774">
      <w:pPr>
        <w:jc w:val="both"/>
        <w:rPr>
          <w:rFonts w:ascii="Arial Narrow" w:eastAsia="Arial" w:hAnsi="Arial Narrow" w:cs="Arial"/>
          <w:color w:val="000000" w:themeColor="text1"/>
          <w:sz w:val="26"/>
          <w:szCs w:val="26"/>
        </w:rPr>
      </w:pPr>
      <w:r w:rsidRPr="002E15A0">
        <w:rPr>
          <w:rFonts w:ascii="Arial Narrow" w:hAnsi="Arial Narrow" w:cs="Calibri"/>
          <w:color w:val="000000" w:themeColor="text1"/>
          <w:sz w:val="26"/>
          <w:szCs w:val="26"/>
        </w:rPr>
        <w:t xml:space="preserve">La Unidad de Promoción del Mayor ha realizado un balance muy positivo del año 2025, un ejercicio en el que más de </w:t>
      </w:r>
      <w:r w:rsidRPr="002E15A0">
        <w:rPr>
          <w:rFonts w:ascii="Arial Narrow" w:hAnsi="Arial Narrow" w:cs="Calibri"/>
          <w:bCs/>
          <w:color w:val="000000" w:themeColor="text1"/>
          <w:sz w:val="26"/>
          <w:szCs w:val="26"/>
        </w:rPr>
        <w:t>5.000 personas mayores</w:t>
      </w:r>
      <w:r w:rsidRPr="002E15A0">
        <w:rPr>
          <w:rFonts w:ascii="Arial Narrow" w:hAnsi="Arial Narrow" w:cs="Calibri"/>
          <w:color w:val="000000" w:themeColor="text1"/>
          <w:sz w:val="26"/>
          <w:szCs w:val="26"/>
        </w:rPr>
        <w:t> han participado en los distintos programas, actividades y recursos puestos en marcha a lo largo del año, consolidando el compromiso institucional con el envejecimiento activo, la autonomía personal y la participación social.</w:t>
      </w:r>
      <w:r w:rsidR="00E23DF9" w:rsidRPr="002E15A0">
        <w:rPr>
          <w:rFonts w:ascii="Arial Narrow" w:eastAsia="Arial" w:hAnsi="Arial Narrow" w:cs="Arial"/>
          <w:color w:val="000000" w:themeColor="text1"/>
          <w:sz w:val="26"/>
          <w:szCs w:val="26"/>
        </w:rPr>
        <w:t xml:space="preserve"> </w:t>
      </w:r>
      <w:r w:rsidRPr="002E15A0">
        <w:rPr>
          <w:rFonts w:ascii="Arial Narrow" w:hAnsi="Arial Narrow" w:cs="Calibri"/>
          <w:color w:val="000000" w:themeColor="text1"/>
          <w:sz w:val="26"/>
          <w:szCs w:val="26"/>
        </w:rPr>
        <w:t xml:space="preserve">Durante 2025 se desarrollaron </w:t>
      </w:r>
      <w:r w:rsidRPr="002E15A0">
        <w:rPr>
          <w:rFonts w:ascii="Arial Narrow" w:hAnsi="Arial Narrow" w:cs="Calibri"/>
          <w:bCs/>
          <w:color w:val="000000" w:themeColor="text1"/>
          <w:sz w:val="26"/>
          <w:szCs w:val="26"/>
        </w:rPr>
        <w:t>más de 300 actividades</w:t>
      </w:r>
      <w:r w:rsidRPr="002E15A0">
        <w:rPr>
          <w:rFonts w:ascii="Arial Narrow" w:hAnsi="Arial Narrow" w:cs="Calibri"/>
          <w:color w:val="000000" w:themeColor="text1"/>
          <w:sz w:val="26"/>
          <w:szCs w:val="26"/>
        </w:rPr>
        <w:t xml:space="preserve">, con una media de </w:t>
      </w:r>
      <w:r w:rsidRPr="002E15A0">
        <w:rPr>
          <w:rFonts w:ascii="Arial Narrow" w:hAnsi="Arial Narrow" w:cs="Calibri"/>
          <w:bCs/>
          <w:color w:val="000000" w:themeColor="text1"/>
          <w:sz w:val="26"/>
          <w:szCs w:val="26"/>
        </w:rPr>
        <w:t>400 personas usuarias mensuales</w:t>
      </w:r>
      <w:r w:rsidRPr="002E15A0">
        <w:rPr>
          <w:rFonts w:ascii="Arial Narrow" w:hAnsi="Arial Narrow" w:cs="Calibri"/>
          <w:color w:val="000000" w:themeColor="text1"/>
          <w:sz w:val="26"/>
          <w:szCs w:val="26"/>
        </w:rPr>
        <w:t>, gracias a un trabajo coordinado entre los profesionales, las entidades colaboradoras y los propios centros municipales.</w:t>
      </w:r>
    </w:p>
    <w:p w:rsidR="00D3796D" w:rsidRPr="002E15A0" w:rsidRDefault="00D3796D" w:rsidP="00D95774">
      <w:pPr>
        <w:jc w:val="both"/>
        <w:rPr>
          <w:rFonts w:ascii="Arial Narrow" w:hAnsi="Arial Narrow" w:cs="Calibri"/>
          <w:color w:val="000000" w:themeColor="text1"/>
          <w:sz w:val="26"/>
          <w:szCs w:val="26"/>
        </w:rPr>
      </w:pPr>
    </w:p>
    <w:p w:rsidR="00D95774" w:rsidRPr="002E15A0" w:rsidRDefault="00D95774" w:rsidP="00D95774">
      <w:pPr>
        <w:jc w:val="both"/>
        <w:rPr>
          <w:rFonts w:ascii="Arial Narrow" w:hAnsi="Arial Narrow" w:cs="Calibri"/>
          <w:color w:val="000000" w:themeColor="text1"/>
          <w:sz w:val="26"/>
          <w:szCs w:val="26"/>
        </w:rPr>
      </w:pPr>
      <w:r w:rsidRPr="002E15A0">
        <w:rPr>
          <w:rFonts w:ascii="Arial Narrow" w:hAnsi="Arial Narrow" w:cs="Calibri"/>
          <w:color w:val="000000" w:themeColor="text1"/>
          <w:sz w:val="26"/>
          <w:szCs w:val="26"/>
        </w:rPr>
        <w:t xml:space="preserve">Los tres </w:t>
      </w:r>
      <w:r w:rsidRPr="002E15A0">
        <w:rPr>
          <w:rFonts w:ascii="Arial Narrow" w:hAnsi="Arial Narrow" w:cs="Calibri"/>
          <w:bCs/>
          <w:color w:val="000000" w:themeColor="text1"/>
          <w:sz w:val="26"/>
          <w:szCs w:val="26"/>
        </w:rPr>
        <w:t>Centros de Día</w:t>
      </w:r>
      <w:r w:rsidRPr="002E15A0">
        <w:rPr>
          <w:rFonts w:ascii="Arial Narrow" w:hAnsi="Arial Narrow" w:cs="Calibri"/>
          <w:color w:val="000000" w:themeColor="text1"/>
          <w:sz w:val="26"/>
          <w:szCs w:val="26"/>
        </w:rPr>
        <w:t xml:space="preserve"> municipales (Sur, San Benito y El Abuelo) han sido uno de los ejes fundamentales de la acción de la Unidad. A lo largo del año atendieron a </w:t>
      </w:r>
      <w:r w:rsidRPr="002E15A0">
        <w:rPr>
          <w:rFonts w:ascii="Arial Narrow" w:hAnsi="Arial Narrow" w:cs="Calibri"/>
          <w:bCs/>
          <w:color w:val="000000" w:themeColor="text1"/>
          <w:sz w:val="26"/>
          <w:szCs w:val="26"/>
        </w:rPr>
        <w:t xml:space="preserve">más de 4.432 personas usuarias </w:t>
      </w:r>
      <w:r w:rsidRPr="002E15A0">
        <w:rPr>
          <w:rFonts w:ascii="Arial Narrow" w:hAnsi="Arial Narrow" w:cs="Calibri"/>
          <w:color w:val="000000" w:themeColor="text1"/>
          <w:sz w:val="26"/>
          <w:szCs w:val="26"/>
        </w:rPr>
        <w:t>entre cursos de envejecimiento activo, atención social, estimulación cognitiva, talleres ocupacionales y actividades físicas adaptadas.</w:t>
      </w:r>
      <w:r w:rsidR="00E23DF9" w:rsidRPr="002E15A0">
        <w:rPr>
          <w:rFonts w:ascii="Arial Narrow" w:hAnsi="Arial Narrow" w:cs="Calibri"/>
          <w:color w:val="000000" w:themeColor="text1"/>
          <w:sz w:val="26"/>
          <w:szCs w:val="26"/>
        </w:rPr>
        <w:t xml:space="preserve"> </w:t>
      </w:r>
      <w:r w:rsidRPr="002E15A0">
        <w:rPr>
          <w:rFonts w:ascii="Arial Narrow" w:hAnsi="Arial Narrow" w:cs="Calibri"/>
          <w:color w:val="000000" w:themeColor="text1"/>
          <w:sz w:val="26"/>
          <w:szCs w:val="26"/>
        </w:rPr>
        <w:t xml:space="preserve">Estos recursos han permitido mantener y mejorar la autonomía personal de las personas mayores, además de servir de apoyo directo a </w:t>
      </w:r>
      <w:r w:rsidRPr="002E15A0">
        <w:rPr>
          <w:rFonts w:ascii="Arial Narrow" w:hAnsi="Arial Narrow" w:cs="Calibri"/>
          <w:bCs/>
          <w:color w:val="000000" w:themeColor="text1"/>
          <w:sz w:val="26"/>
          <w:szCs w:val="26"/>
        </w:rPr>
        <w:t>más de 2.500 familias</w:t>
      </w:r>
      <w:r w:rsidRPr="002E15A0">
        <w:rPr>
          <w:rFonts w:ascii="Arial Narrow" w:hAnsi="Arial Narrow" w:cs="Calibri"/>
          <w:color w:val="000000" w:themeColor="text1"/>
          <w:sz w:val="26"/>
          <w:szCs w:val="26"/>
        </w:rPr>
        <w:t xml:space="preserve">, contribuyendo a la prevención de la dependencia y de situaciones de soledad no deseada. En este caso concreto a través de la prórroga del Programa Siempre Acompañados en colaboración con Fundación La Caixa se sigue llegando a aquellos mayores que más lo necesitan. </w:t>
      </w:r>
    </w:p>
    <w:p w:rsidR="00D95774" w:rsidRPr="002E15A0" w:rsidRDefault="00D95774" w:rsidP="008732B4">
      <w:pPr>
        <w:jc w:val="both"/>
        <w:rPr>
          <w:rFonts w:ascii="Arial Narrow" w:hAnsi="Arial Narrow" w:cstheme="majorHAnsi"/>
          <w:color w:val="000000" w:themeColor="text1"/>
          <w:spacing w:val="-3"/>
          <w:sz w:val="26"/>
          <w:szCs w:val="26"/>
          <w:shd w:val="clear" w:color="auto" w:fill="FFFFFF"/>
        </w:rPr>
      </w:pPr>
    </w:p>
    <w:p w:rsidR="00D95774" w:rsidRPr="002E15A0" w:rsidRDefault="00D95774" w:rsidP="00D95774">
      <w:pPr>
        <w:jc w:val="both"/>
        <w:rPr>
          <w:rFonts w:ascii="Arial Narrow" w:hAnsi="Arial Narrow" w:cs="Calibri"/>
          <w:color w:val="000000" w:themeColor="text1"/>
          <w:sz w:val="26"/>
          <w:szCs w:val="26"/>
        </w:rPr>
      </w:pPr>
      <w:r w:rsidRPr="002E15A0">
        <w:rPr>
          <w:rFonts w:ascii="Arial Narrow" w:hAnsi="Arial Narrow" w:cs="Calibri"/>
          <w:color w:val="000000" w:themeColor="text1"/>
          <w:sz w:val="26"/>
          <w:szCs w:val="26"/>
        </w:rPr>
        <w:t xml:space="preserve">La </w:t>
      </w:r>
      <w:r w:rsidRPr="002E15A0">
        <w:rPr>
          <w:rFonts w:ascii="Arial Narrow" w:hAnsi="Arial Narrow" w:cs="Calibri"/>
          <w:bCs/>
          <w:color w:val="000000" w:themeColor="text1"/>
          <w:sz w:val="26"/>
          <w:szCs w:val="26"/>
        </w:rPr>
        <w:t>Semana de los Mayores 2025</w:t>
      </w:r>
      <w:r w:rsidRPr="002E15A0">
        <w:rPr>
          <w:rFonts w:ascii="Arial Narrow" w:hAnsi="Arial Narrow" w:cs="Calibri"/>
          <w:color w:val="000000" w:themeColor="text1"/>
          <w:sz w:val="26"/>
          <w:szCs w:val="26"/>
        </w:rPr>
        <w:t> </w:t>
      </w:r>
      <w:r w:rsidR="00E23DF9" w:rsidRPr="002E15A0">
        <w:rPr>
          <w:rFonts w:ascii="Arial Narrow" w:hAnsi="Arial Narrow" w:cs="Calibri"/>
          <w:color w:val="000000" w:themeColor="text1"/>
          <w:sz w:val="26"/>
          <w:szCs w:val="26"/>
        </w:rPr>
        <w:t>también se ha consolidado</w:t>
      </w:r>
      <w:r w:rsidRPr="002E15A0">
        <w:rPr>
          <w:rFonts w:ascii="Arial Narrow" w:hAnsi="Arial Narrow" w:cs="Calibri"/>
          <w:color w:val="000000" w:themeColor="text1"/>
          <w:sz w:val="26"/>
          <w:szCs w:val="26"/>
        </w:rPr>
        <w:t xml:space="preserve"> como uno de los eventos sociales más relevantes del año, con la celebración de </w:t>
      </w:r>
      <w:r w:rsidRPr="002E15A0">
        <w:rPr>
          <w:rFonts w:ascii="Arial Narrow" w:hAnsi="Arial Narrow" w:cs="Calibri"/>
          <w:bCs/>
          <w:color w:val="000000" w:themeColor="text1"/>
          <w:sz w:val="26"/>
          <w:szCs w:val="26"/>
        </w:rPr>
        <w:t>más de 30 actividades</w:t>
      </w:r>
      <w:r w:rsidRPr="002E15A0">
        <w:rPr>
          <w:rFonts w:ascii="Arial Narrow" w:hAnsi="Arial Narrow" w:cs="Calibri"/>
          <w:color w:val="000000" w:themeColor="text1"/>
          <w:sz w:val="26"/>
          <w:szCs w:val="26"/>
        </w:rPr>
        <w:t xml:space="preserve"> y una participación superior a </w:t>
      </w:r>
      <w:r w:rsidRPr="002E15A0">
        <w:rPr>
          <w:rFonts w:ascii="Arial Narrow" w:hAnsi="Arial Narrow" w:cs="Calibri"/>
          <w:bCs/>
          <w:color w:val="000000" w:themeColor="text1"/>
          <w:sz w:val="26"/>
          <w:szCs w:val="26"/>
        </w:rPr>
        <w:t>1.200 personas</w:t>
      </w:r>
      <w:r w:rsidRPr="002E15A0">
        <w:rPr>
          <w:rFonts w:ascii="Arial Narrow" w:hAnsi="Arial Narrow" w:cs="Calibri"/>
          <w:color w:val="000000" w:themeColor="text1"/>
          <w:sz w:val="26"/>
          <w:szCs w:val="26"/>
        </w:rPr>
        <w:t>.</w:t>
      </w:r>
      <w:r w:rsidR="006E437D" w:rsidRPr="002E15A0">
        <w:rPr>
          <w:rFonts w:ascii="Arial Narrow" w:hAnsi="Arial Narrow" w:cs="Calibri"/>
          <w:color w:val="000000" w:themeColor="text1"/>
          <w:sz w:val="26"/>
          <w:szCs w:val="26"/>
        </w:rPr>
        <w:t xml:space="preserve"> </w:t>
      </w:r>
      <w:r w:rsidRPr="002E15A0">
        <w:rPr>
          <w:rFonts w:ascii="Arial Narrow" w:hAnsi="Arial Narrow" w:cs="Calibri"/>
          <w:color w:val="000000" w:themeColor="text1"/>
          <w:sz w:val="26"/>
          <w:szCs w:val="26"/>
        </w:rPr>
        <w:t>El programa incluyó actividades culturales, deportivas, formativas y de ocio, así como actos de reconocimiento, favoreciendo la convivencia, el encuentro intergeneracional y la visibilidad del papel activo de las personas mayores en la sociedad.</w:t>
      </w:r>
    </w:p>
    <w:p w:rsidR="006E437D" w:rsidRPr="002E15A0" w:rsidRDefault="006E437D" w:rsidP="00D95774">
      <w:pPr>
        <w:jc w:val="both"/>
        <w:rPr>
          <w:rFonts w:ascii="Arial Narrow" w:hAnsi="Arial Narrow" w:cs="Calibri"/>
          <w:b/>
          <w:bCs/>
          <w:color w:val="000000" w:themeColor="text1"/>
          <w:sz w:val="26"/>
          <w:szCs w:val="26"/>
        </w:rPr>
      </w:pPr>
    </w:p>
    <w:p w:rsidR="00D95774" w:rsidRPr="002E15A0" w:rsidRDefault="00D95774" w:rsidP="004E0EB9">
      <w:pPr>
        <w:jc w:val="both"/>
        <w:rPr>
          <w:rFonts w:ascii="Arial Narrow" w:hAnsi="Arial Narrow" w:cs="Calibri"/>
          <w:color w:val="000000" w:themeColor="text1"/>
          <w:sz w:val="26"/>
          <w:szCs w:val="26"/>
        </w:rPr>
      </w:pPr>
      <w:r w:rsidRPr="002E15A0">
        <w:rPr>
          <w:rFonts w:ascii="Arial Narrow" w:hAnsi="Arial Narrow" w:cs="Calibri"/>
          <w:color w:val="000000" w:themeColor="text1"/>
          <w:sz w:val="26"/>
          <w:szCs w:val="26"/>
        </w:rPr>
        <w:t xml:space="preserve">A lo largo de 2025, la Unidad de Promoción del Mayor </w:t>
      </w:r>
      <w:r w:rsidR="00C1113F" w:rsidRPr="002E15A0">
        <w:rPr>
          <w:rFonts w:ascii="Arial Narrow" w:hAnsi="Arial Narrow" w:cs="Calibri"/>
          <w:color w:val="000000" w:themeColor="text1"/>
          <w:sz w:val="26"/>
          <w:szCs w:val="26"/>
        </w:rPr>
        <w:t>ha desarrollado</w:t>
      </w:r>
      <w:r w:rsidRPr="002E15A0">
        <w:rPr>
          <w:rFonts w:ascii="Arial Narrow" w:hAnsi="Arial Narrow" w:cs="Calibri"/>
          <w:color w:val="000000" w:themeColor="text1"/>
          <w:sz w:val="26"/>
          <w:szCs w:val="26"/>
        </w:rPr>
        <w:t xml:space="preserve"> </w:t>
      </w:r>
      <w:r w:rsidRPr="002E15A0">
        <w:rPr>
          <w:rFonts w:ascii="Arial Narrow" w:hAnsi="Arial Narrow" w:cs="Calibri"/>
          <w:bCs/>
          <w:color w:val="000000" w:themeColor="text1"/>
          <w:sz w:val="26"/>
          <w:szCs w:val="26"/>
        </w:rPr>
        <w:t>más de 15 programas estables</w:t>
      </w:r>
      <w:r w:rsidRPr="002E15A0">
        <w:rPr>
          <w:rFonts w:ascii="Arial Narrow" w:hAnsi="Arial Narrow" w:cs="Calibri"/>
          <w:color w:val="000000" w:themeColor="text1"/>
          <w:sz w:val="26"/>
          <w:szCs w:val="26"/>
        </w:rPr>
        <w:t>, entre los que destacan:</w:t>
      </w:r>
      <w:r w:rsidR="006E437D" w:rsidRPr="002E15A0">
        <w:rPr>
          <w:rFonts w:ascii="Arial Narrow" w:hAnsi="Arial Narrow" w:cs="Calibri"/>
          <w:color w:val="000000" w:themeColor="text1"/>
          <w:sz w:val="26"/>
          <w:szCs w:val="26"/>
        </w:rPr>
        <w:t xml:space="preserve"> </w:t>
      </w:r>
      <w:r w:rsidRPr="002E15A0">
        <w:rPr>
          <w:rFonts w:ascii="Arial Narrow" w:hAnsi="Arial Narrow" w:cs="Calibri"/>
          <w:bCs/>
          <w:color w:val="000000" w:themeColor="text1"/>
          <w:sz w:val="26"/>
          <w:szCs w:val="26"/>
        </w:rPr>
        <w:t>Programas de actividad física y salud</w:t>
      </w:r>
      <w:r w:rsidRPr="002E15A0">
        <w:rPr>
          <w:rFonts w:ascii="Arial Narrow" w:hAnsi="Arial Narrow" w:cs="Calibri"/>
          <w:color w:val="000000" w:themeColor="text1"/>
          <w:sz w:val="26"/>
          <w:szCs w:val="26"/>
        </w:rPr>
        <w:t xml:space="preserve">, con más de </w:t>
      </w:r>
      <w:r w:rsidR="004E0EB9" w:rsidRPr="002E15A0">
        <w:rPr>
          <w:rFonts w:ascii="Arial Narrow" w:hAnsi="Arial Narrow" w:cs="Calibri"/>
          <w:bCs/>
          <w:color w:val="000000" w:themeColor="text1"/>
          <w:sz w:val="26"/>
          <w:szCs w:val="26"/>
        </w:rPr>
        <w:t>1.500 participantes; t</w:t>
      </w:r>
      <w:r w:rsidRPr="002E15A0">
        <w:rPr>
          <w:rFonts w:ascii="Arial Narrow" w:hAnsi="Arial Narrow" w:cs="Calibri"/>
          <w:bCs/>
          <w:color w:val="000000" w:themeColor="text1"/>
          <w:sz w:val="26"/>
          <w:szCs w:val="26"/>
        </w:rPr>
        <w:t>alleres de memoria y estimulación cognitiva</w:t>
      </w:r>
      <w:r w:rsidRPr="002E15A0">
        <w:rPr>
          <w:rFonts w:ascii="Arial Narrow" w:hAnsi="Arial Narrow" w:cs="Calibri"/>
          <w:color w:val="000000" w:themeColor="text1"/>
          <w:sz w:val="26"/>
          <w:szCs w:val="26"/>
        </w:rPr>
        <w:t xml:space="preserve">, con </w:t>
      </w:r>
      <w:r w:rsidRPr="002E15A0">
        <w:rPr>
          <w:rFonts w:ascii="Arial Narrow" w:hAnsi="Arial Narrow" w:cs="Calibri"/>
          <w:bCs/>
          <w:color w:val="000000" w:themeColor="text1"/>
          <w:sz w:val="26"/>
          <w:szCs w:val="26"/>
        </w:rPr>
        <w:t>800 personas inscritas</w:t>
      </w:r>
      <w:r w:rsidR="004E0EB9" w:rsidRPr="002E15A0">
        <w:rPr>
          <w:rFonts w:ascii="Arial Narrow" w:hAnsi="Arial Narrow" w:cs="Calibri"/>
          <w:bCs/>
          <w:color w:val="000000" w:themeColor="text1"/>
          <w:sz w:val="26"/>
          <w:szCs w:val="26"/>
        </w:rPr>
        <w:t>; a</w:t>
      </w:r>
      <w:r w:rsidRPr="002E15A0">
        <w:rPr>
          <w:rFonts w:ascii="Arial Narrow" w:hAnsi="Arial Narrow" w:cs="Calibri"/>
          <w:bCs/>
          <w:color w:val="000000" w:themeColor="text1"/>
          <w:sz w:val="26"/>
          <w:szCs w:val="26"/>
        </w:rPr>
        <w:t>ctividades culturales y educativas</w:t>
      </w:r>
      <w:r w:rsidRPr="002E15A0">
        <w:rPr>
          <w:rFonts w:ascii="Arial Narrow" w:hAnsi="Arial Narrow" w:cs="Calibri"/>
          <w:color w:val="000000" w:themeColor="text1"/>
          <w:sz w:val="26"/>
          <w:szCs w:val="26"/>
        </w:rPr>
        <w:t xml:space="preserve">, con más de </w:t>
      </w:r>
      <w:r w:rsidRPr="002E15A0">
        <w:rPr>
          <w:rFonts w:ascii="Arial Narrow" w:hAnsi="Arial Narrow" w:cs="Calibri"/>
          <w:bCs/>
          <w:color w:val="000000" w:themeColor="text1"/>
          <w:sz w:val="26"/>
          <w:szCs w:val="26"/>
        </w:rPr>
        <w:t>700 participantes</w:t>
      </w:r>
      <w:r w:rsidR="004E0EB9" w:rsidRPr="002E15A0">
        <w:rPr>
          <w:rFonts w:ascii="Arial Narrow" w:hAnsi="Arial Narrow" w:cs="Calibri"/>
          <w:color w:val="000000" w:themeColor="text1"/>
          <w:sz w:val="26"/>
          <w:szCs w:val="26"/>
        </w:rPr>
        <w:t xml:space="preserve">; </w:t>
      </w:r>
      <w:r w:rsidR="004E0EB9" w:rsidRPr="002E15A0">
        <w:rPr>
          <w:rFonts w:ascii="Arial Narrow" w:hAnsi="Arial Narrow" w:cs="Calibri"/>
          <w:bCs/>
          <w:color w:val="000000" w:themeColor="text1"/>
          <w:sz w:val="26"/>
          <w:szCs w:val="26"/>
        </w:rPr>
        <w:t>p</w:t>
      </w:r>
      <w:r w:rsidRPr="002E15A0">
        <w:rPr>
          <w:rFonts w:ascii="Arial Narrow" w:hAnsi="Arial Narrow" w:cs="Calibri"/>
          <w:bCs/>
          <w:color w:val="000000" w:themeColor="text1"/>
          <w:sz w:val="26"/>
          <w:szCs w:val="26"/>
        </w:rPr>
        <w:t>rogramas de prevención de la soledad y participación social</w:t>
      </w:r>
      <w:r w:rsidRPr="002E15A0">
        <w:rPr>
          <w:rFonts w:ascii="Arial Narrow" w:hAnsi="Arial Narrow" w:cs="Calibri"/>
          <w:color w:val="000000" w:themeColor="text1"/>
          <w:sz w:val="26"/>
          <w:szCs w:val="26"/>
        </w:rPr>
        <w:t xml:space="preserve">, con </w:t>
      </w:r>
      <w:r w:rsidRPr="002E15A0">
        <w:rPr>
          <w:rFonts w:ascii="Arial Narrow" w:hAnsi="Arial Narrow" w:cs="Calibri"/>
          <w:bCs/>
          <w:color w:val="000000" w:themeColor="text1"/>
          <w:sz w:val="26"/>
          <w:szCs w:val="26"/>
        </w:rPr>
        <w:t>500 personas atendidas</w:t>
      </w:r>
      <w:r w:rsidR="004E0EB9" w:rsidRPr="002E15A0">
        <w:rPr>
          <w:rFonts w:ascii="Arial Narrow" w:hAnsi="Arial Narrow" w:cs="Calibri"/>
          <w:color w:val="000000" w:themeColor="text1"/>
          <w:sz w:val="26"/>
          <w:szCs w:val="26"/>
        </w:rPr>
        <w:t xml:space="preserve"> y </w:t>
      </w:r>
      <w:r w:rsidR="004E0EB9" w:rsidRPr="002E15A0">
        <w:rPr>
          <w:rFonts w:ascii="Arial Narrow" w:hAnsi="Arial Narrow" w:cs="Calibri"/>
          <w:bCs/>
          <w:color w:val="000000" w:themeColor="text1"/>
          <w:sz w:val="26"/>
          <w:szCs w:val="26"/>
        </w:rPr>
        <w:t>a</w:t>
      </w:r>
      <w:r w:rsidRPr="002E15A0">
        <w:rPr>
          <w:rFonts w:ascii="Arial Narrow" w:hAnsi="Arial Narrow" w:cs="Calibri"/>
          <w:bCs/>
          <w:color w:val="000000" w:themeColor="text1"/>
          <w:sz w:val="26"/>
          <w:szCs w:val="26"/>
        </w:rPr>
        <w:t>cciones de acompañamiento comunitario</w:t>
      </w:r>
      <w:r w:rsidRPr="002E15A0">
        <w:rPr>
          <w:rFonts w:ascii="Arial Narrow" w:hAnsi="Arial Narrow" w:cs="Calibri"/>
          <w:color w:val="000000" w:themeColor="text1"/>
          <w:sz w:val="26"/>
          <w:szCs w:val="26"/>
        </w:rPr>
        <w:t xml:space="preserve">, con más de </w:t>
      </w:r>
      <w:r w:rsidRPr="002E15A0">
        <w:rPr>
          <w:rFonts w:ascii="Arial Narrow" w:hAnsi="Arial Narrow" w:cs="Calibri"/>
          <w:bCs/>
          <w:color w:val="000000" w:themeColor="text1"/>
          <w:sz w:val="26"/>
          <w:szCs w:val="26"/>
        </w:rPr>
        <w:t>1.000 intervenciones</w:t>
      </w:r>
    </w:p>
    <w:p w:rsidR="00D3796D" w:rsidRPr="002E15A0" w:rsidRDefault="00D3796D" w:rsidP="00D95774">
      <w:pPr>
        <w:jc w:val="both"/>
        <w:rPr>
          <w:rFonts w:ascii="Arial Narrow" w:hAnsi="Arial Narrow" w:cs="Calibri"/>
          <w:color w:val="000000" w:themeColor="text1"/>
          <w:sz w:val="26"/>
          <w:szCs w:val="26"/>
        </w:rPr>
      </w:pPr>
    </w:p>
    <w:p w:rsidR="00D95774" w:rsidRPr="002E15A0" w:rsidRDefault="00D95774" w:rsidP="00D95774">
      <w:pPr>
        <w:jc w:val="both"/>
        <w:rPr>
          <w:rFonts w:ascii="Arial Narrow" w:hAnsi="Arial Narrow" w:cs="Calibri"/>
          <w:color w:val="000000" w:themeColor="text1"/>
          <w:sz w:val="26"/>
          <w:szCs w:val="26"/>
        </w:rPr>
      </w:pPr>
      <w:r w:rsidRPr="002E15A0">
        <w:rPr>
          <w:rFonts w:ascii="Arial Narrow" w:hAnsi="Arial Narrow" w:cs="Calibri"/>
          <w:color w:val="000000" w:themeColor="text1"/>
          <w:sz w:val="26"/>
          <w:szCs w:val="26"/>
        </w:rPr>
        <w:t>Estos programas han contribuido de manera directa a mejorar la calidad de vida, el bienestar emocional y la participación activa de las personas mayores del municipio.</w:t>
      </w:r>
      <w:r w:rsidR="00D3796D" w:rsidRPr="002E15A0">
        <w:rPr>
          <w:rFonts w:ascii="Arial Narrow" w:hAnsi="Arial Narrow" w:cs="Calibri"/>
          <w:color w:val="000000" w:themeColor="text1"/>
          <w:sz w:val="26"/>
          <w:szCs w:val="26"/>
        </w:rPr>
        <w:t xml:space="preserve"> </w:t>
      </w:r>
      <w:r w:rsidRPr="002E15A0">
        <w:rPr>
          <w:rFonts w:ascii="Arial Narrow" w:hAnsi="Arial Narrow" w:cs="Calibri"/>
          <w:bCs/>
          <w:color w:val="000000" w:themeColor="text1"/>
          <w:sz w:val="26"/>
          <w:szCs w:val="26"/>
        </w:rPr>
        <w:t xml:space="preserve">También se han recuperado junto con la Delegación de Deportes los concursos de petanca y dominó que eran muy demandados y que han tenido una enorme aceptación. </w:t>
      </w:r>
    </w:p>
    <w:p w:rsidR="00D3796D" w:rsidRPr="002E15A0" w:rsidRDefault="00D3796D" w:rsidP="00D95774">
      <w:pPr>
        <w:jc w:val="both"/>
        <w:rPr>
          <w:rFonts w:ascii="Arial Narrow" w:hAnsi="Arial Narrow" w:cs="Calibri"/>
          <w:b/>
          <w:bCs/>
          <w:color w:val="000000" w:themeColor="text1"/>
          <w:sz w:val="26"/>
          <w:szCs w:val="26"/>
        </w:rPr>
      </w:pPr>
    </w:p>
    <w:p w:rsidR="00D95774" w:rsidRPr="002E15A0" w:rsidRDefault="00D95774" w:rsidP="00D95774">
      <w:pPr>
        <w:jc w:val="both"/>
        <w:rPr>
          <w:rFonts w:ascii="Arial Narrow" w:hAnsi="Arial Narrow" w:cs="Calibri"/>
          <w:bCs/>
          <w:color w:val="000000" w:themeColor="text1"/>
          <w:sz w:val="26"/>
          <w:szCs w:val="26"/>
        </w:rPr>
      </w:pPr>
      <w:r w:rsidRPr="002E15A0">
        <w:rPr>
          <w:rFonts w:ascii="Arial Narrow" w:hAnsi="Arial Narrow" w:cs="Calibri"/>
          <w:bCs/>
          <w:color w:val="000000" w:themeColor="text1"/>
          <w:sz w:val="26"/>
          <w:szCs w:val="26"/>
        </w:rPr>
        <w:t xml:space="preserve">Uno de los valores a tener en cuenta es la inclusión de las personas mayores en todo el ciclo festivo de la ciudad. De este modo se han acercado a las residencias de mayores de la ciudad conciertos con motivo de Día Mundial del Flamenco y zambombas con motivo de </w:t>
      </w:r>
      <w:r w:rsidRPr="002E15A0">
        <w:rPr>
          <w:rFonts w:ascii="Arial Narrow" w:hAnsi="Arial Narrow" w:cs="Calibri"/>
          <w:bCs/>
          <w:color w:val="000000" w:themeColor="text1"/>
          <w:sz w:val="26"/>
          <w:szCs w:val="26"/>
        </w:rPr>
        <w:lastRenderedPageBreak/>
        <w:t xml:space="preserve">la Navidad. Cabe destacar el Certamen de Coros en Alameda del Banco con un record de asistencia y la inclusión de actividades para mayores en soledad no deseada en la programación de la Navidad Inclusiva. </w:t>
      </w:r>
    </w:p>
    <w:p w:rsidR="00D3796D" w:rsidRPr="002E15A0" w:rsidRDefault="00D3796D" w:rsidP="00D95774">
      <w:pPr>
        <w:jc w:val="both"/>
        <w:rPr>
          <w:rFonts w:ascii="Arial Narrow" w:hAnsi="Arial Narrow" w:cs="Calibri"/>
          <w:b/>
          <w:bCs/>
          <w:color w:val="000000" w:themeColor="text1"/>
          <w:sz w:val="26"/>
          <w:szCs w:val="26"/>
        </w:rPr>
      </w:pPr>
    </w:p>
    <w:p w:rsidR="00D95774" w:rsidRPr="002E15A0" w:rsidRDefault="00D3796D" w:rsidP="00D95774">
      <w:pPr>
        <w:jc w:val="both"/>
        <w:rPr>
          <w:rFonts w:ascii="Arial Narrow" w:hAnsi="Arial Narrow" w:cs="Calibri"/>
          <w:color w:val="000000" w:themeColor="text1"/>
          <w:sz w:val="26"/>
          <w:szCs w:val="26"/>
        </w:rPr>
      </w:pPr>
      <w:r w:rsidRPr="002E15A0">
        <w:rPr>
          <w:rFonts w:ascii="Arial Narrow" w:hAnsi="Arial Narrow" w:cs="Calibri"/>
          <w:bCs/>
          <w:color w:val="000000" w:themeColor="text1"/>
          <w:sz w:val="26"/>
          <w:szCs w:val="26"/>
        </w:rPr>
        <w:t>En definitiva, destaca la delegada "</w:t>
      </w:r>
      <w:r w:rsidRPr="002E15A0">
        <w:rPr>
          <w:rFonts w:ascii="Arial Narrow" w:hAnsi="Arial Narrow" w:cs="Calibri"/>
          <w:color w:val="000000" w:themeColor="text1"/>
          <w:sz w:val="26"/>
          <w:szCs w:val="26"/>
        </w:rPr>
        <w:t>c</w:t>
      </w:r>
      <w:r w:rsidR="00D95774" w:rsidRPr="002E15A0">
        <w:rPr>
          <w:rFonts w:ascii="Arial Narrow" w:hAnsi="Arial Narrow" w:cs="Calibri"/>
          <w:color w:val="000000" w:themeColor="text1"/>
          <w:sz w:val="26"/>
          <w:szCs w:val="26"/>
        </w:rPr>
        <w:t>on el cierre de 2025, la Unidad de Promoción del Mayor reafirma su compromiso con una política social cercana y centrada en las personas, apostando por servicios accesibles, programas de calidad y una atención integral que sitúa a las personas mayores como protagonistas de su propio envejecimiento.</w:t>
      </w:r>
      <w:r w:rsidRPr="002E15A0">
        <w:rPr>
          <w:rFonts w:ascii="Arial Narrow" w:hAnsi="Arial Narrow" w:cs="Calibri"/>
          <w:color w:val="000000" w:themeColor="text1"/>
          <w:sz w:val="26"/>
          <w:szCs w:val="26"/>
        </w:rPr>
        <w:t xml:space="preserve"> </w:t>
      </w:r>
      <w:r w:rsidR="00D95774" w:rsidRPr="002E15A0">
        <w:rPr>
          <w:rFonts w:ascii="Arial Narrow" w:hAnsi="Arial Narrow" w:cs="Calibri"/>
          <w:color w:val="000000" w:themeColor="text1"/>
          <w:sz w:val="26"/>
          <w:szCs w:val="26"/>
        </w:rPr>
        <w:t>El balance del año refleja un modelo consolidado de intervención social, que continuará desarrollándose y ampliándose en los próximos años para dar respuesta a las nuevas necesidades de la población mayor</w:t>
      </w:r>
      <w:r w:rsidRPr="002E15A0">
        <w:rPr>
          <w:rFonts w:ascii="Arial Narrow" w:hAnsi="Arial Narrow" w:cs="Calibri"/>
          <w:color w:val="000000" w:themeColor="text1"/>
          <w:sz w:val="26"/>
          <w:szCs w:val="26"/>
        </w:rPr>
        <w:t>"</w:t>
      </w:r>
      <w:r w:rsidR="00D95774" w:rsidRPr="002E15A0">
        <w:rPr>
          <w:rFonts w:ascii="Arial Narrow" w:hAnsi="Arial Narrow" w:cs="Calibri"/>
          <w:color w:val="000000" w:themeColor="text1"/>
          <w:sz w:val="26"/>
          <w:szCs w:val="26"/>
        </w:rPr>
        <w:t>.</w:t>
      </w:r>
    </w:p>
    <w:p w:rsidR="00D95774" w:rsidRPr="002E15A0" w:rsidRDefault="00D95774" w:rsidP="00D95774">
      <w:pPr>
        <w:jc w:val="both"/>
        <w:rPr>
          <w:rFonts w:ascii="Century Gothic" w:hAnsi="Century Gothic" w:cs="Calibri"/>
          <w:color w:val="000000" w:themeColor="text1"/>
          <w:sz w:val="22"/>
          <w:szCs w:val="22"/>
        </w:rPr>
      </w:pPr>
    </w:p>
    <w:p w:rsidR="008732B4" w:rsidRPr="002E15A0" w:rsidRDefault="008732B4" w:rsidP="008732B4">
      <w:pPr>
        <w:jc w:val="both"/>
        <w:rPr>
          <w:rFonts w:ascii="Arial Narrow" w:hAnsi="Arial Narrow" w:cstheme="majorHAnsi"/>
          <w:color w:val="000000" w:themeColor="text1"/>
          <w:spacing w:val="-3"/>
          <w:sz w:val="26"/>
          <w:szCs w:val="26"/>
          <w:shd w:val="clear" w:color="auto" w:fill="FFFFFF"/>
        </w:rPr>
      </w:pPr>
      <w:bookmarkStart w:id="2" w:name="_GoBack"/>
      <w:bookmarkEnd w:id="2"/>
    </w:p>
    <w:p w:rsidR="00D859DD" w:rsidRPr="002E15A0" w:rsidRDefault="00D859DD" w:rsidP="00D859DD">
      <w:pPr>
        <w:jc w:val="both"/>
        <w:rPr>
          <w:rFonts w:ascii="Arial Narrow" w:hAnsi="Arial Narrow"/>
          <w:color w:val="000000" w:themeColor="text1"/>
          <w:sz w:val="26"/>
          <w:szCs w:val="26"/>
          <w:lang w:val="es-ES_tradnl"/>
        </w:rPr>
      </w:pPr>
    </w:p>
    <w:p w:rsidR="00C13B38" w:rsidRPr="002E15A0" w:rsidRDefault="00C13B38">
      <w:pPr>
        <w:tabs>
          <w:tab w:val="left" w:pos="663"/>
        </w:tabs>
        <w:jc w:val="both"/>
        <w:rPr>
          <w:rFonts w:ascii="Arial Narrow" w:hAnsi="Arial Narrow" w:cs="Arial"/>
          <w:color w:val="000000" w:themeColor="text1"/>
          <w:sz w:val="26"/>
          <w:szCs w:val="26"/>
        </w:rPr>
      </w:pPr>
    </w:p>
    <w:p w:rsidR="00B03C69" w:rsidRPr="002E15A0" w:rsidRDefault="00B03C69">
      <w:pPr>
        <w:tabs>
          <w:tab w:val="left" w:pos="663"/>
        </w:tabs>
        <w:jc w:val="both"/>
        <w:rPr>
          <w:rFonts w:ascii="Arial Narrow" w:hAnsi="Arial Narrow"/>
          <w:color w:val="000000" w:themeColor="text1"/>
          <w:sz w:val="26"/>
          <w:szCs w:val="26"/>
        </w:rPr>
      </w:pPr>
    </w:p>
    <w:p w:rsidR="00B03C69" w:rsidRPr="002E15A0" w:rsidRDefault="00B03C69">
      <w:pPr>
        <w:pStyle w:val="Textoindependiente"/>
        <w:jc w:val="both"/>
        <w:rPr>
          <w:rFonts w:ascii="Arial Narrow" w:hAnsi="Arial Narrow" w:cs="Arial"/>
          <w:color w:val="000000" w:themeColor="text1"/>
          <w:sz w:val="26"/>
          <w:szCs w:val="26"/>
        </w:rPr>
      </w:pPr>
      <w:bookmarkStart w:id="3" w:name="page3R_mcid22_Copy_1"/>
      <w:bookmarkEnd w:id="0"/>
      <w:bookmarkEnd w:id="1"/>
      <w:bookmarkEnd w:id="3"/>
    </w:p>
    <w:sectPr w:rsidR="00B03C69" w:rsidRPr="002E15A0">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A45" w:rsidRDefault="00C13B38">
      <w:r>
        <w:separator/>
      </w:r>
    </w:p>
  </w:endnote>
  <w:endnote w:type="continuationSeparator" w:id="0">
    <w:p w:rsidR="00613A45" w:rsidRDefault="00C1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A45" w:rsidRDefault="00C13B38">
      <w:r>
        <w:separator/>
      </w:r>
    </w:p>
  </w:footnote>
  <w:footnote w:type="continuationSeparator" w:id="0">
    <w:p w:rsidR="00613A45" w:rsidRDefault="00C13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C69" w:rsidRDefault="00C13B3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03C69" w:rsidRDefault="00B03C6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17774"/>
    <w:multiLevelType w:val="hybridMultilevel"/>
    <w:tmpl w:val="E0F21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50011BC"/>
    <w:multiLevelType w:val="hybridMultilevel"/>
    <w:tmpl w:val="21B6A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6746486"/>
    <w:multiLevelType w:val="multilevel"/>
    <w:tmpl w:val="6AE69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69"/>
    <w:rsid w:val="000B6F48"/>
    <w:rsid w:val="001B4DFA"/>
    <w:rsid w:val="002E15A0"/>
    <w:rsid w:val="004E0EB9"/>
    <w:rsid w:val="00587DA3"/>
    <w:rsid w:val="005B15BA"/>
    <w:rsid w:val="00613A45"/>
    <w:rsid w:val="006508BC"/>
    <w:rsid w:val="006E437D"/>
    <w:rsid w:val="00865A47"/>
    <w:rsid w:val="008732B4"/>
    <w:rsid w:val="00AD295E"/>
    <w:rsid w:val="00B03C69"/>
    <w:rsid w:val="00C1113F"/>
    <w:rsid w:val="00C13B38"/>
    <w:rsid w:val="00D3796D"/>
    <w:rsid w:val="00D74300"/>
    <w:rsid w:val="00D859DD"/>
    <w:rsid w:val="00D95774"/>
    <w:rsid w:val="00E23DF9"/>
    <w:rsid w:val="00EE7904"/>
    <w:rsid w:val="00FD0B6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4E69A1-7D78-4827-9ADE-BE936021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eastAsia="Cambria" w:hAnsi="Segoe UI" w:cs="Segoe UI"/>
      <w:sz w:val="18"/>
      <w:szCs w:val="18"/>
    </w:rPr>
  </w:style>
  <w:style w:type="character" w:customStyle="1" w:styleId="Textoennegrita1">
    <w:name w:val="Texto en negrita1"/>
    <w:qFormat/>
    <w:rPr>
      <w:rFonts w:ascii="Times New Roman" w:eastAsia="Times New Roman" w:hAnsi="Times New Roman" w:cs="Times New Roman"/>
      <w:b/>
      <w:bCs/>
      <w:color w:val="000000"/>
      <w:sz w:val="24"/>
      <w:szCs w:val="24"/>
    </w:rPr>
  </w:style>
  <w:style w:type="character" w:styleId="Textoennegrita">
    <w:name w:val="Strong"/>
    <w:qFormat/>
    <w:rPr>
      <w:b/>
      <w:bCs/>
    </w:rPr>
  </w:style>
  <w:style w:type="character" w:customStyle="1" w:styleId="TextodegloboCar">
    <w:name w:val="Texto de globo Car"/>
    <w:qFormat/>
    <w:rPr>
      <w:rFonts w:ascii="Lucida Grande" w:hAnsi="Lucida Grande" w:cs="Lucida Grande"/>
      <w:color w:val="00000A"/>
      <w:sz w:val="18"/>
      <w:szCs w:val="18"/>
      <w:lang w:eastAsia="en-US"/>
    </w:rPr>
  </w:style>
  <w:style w:type="character" w:customStyle="1" w:styleId="Fuentedeprrafopredeter1">
    <w:name w:val="Fuente de párrafo predeter.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1">
    <w:name w:val="WW8Num1z1"/>
    <w:qFormat/>
    <w:rPr>
      <w:rFonts w:ascii="Symbol" w:hAnsi="Symbol" w:cs="OpenSymbol"/>
    </w:rPr>
  </w:style>
  <w:style w:type="character" w:customStyle="1" w:styleId="WW8Num1z0">
    <w:name w:val="WW8Num1z0"/>
    <w:qFormat/>
    <w:rPr>
      <w:rFonts w:ascii="Wingdings" w:hAnsi="Wingdings"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styleId="Prrafodelista">
    <w:name w:val="List Paragraph"/>
    <w:basedOn w:val="Normal"/>
    <w:uiPriority w:val="34"/>
    <w:qFormat/>
    <w:pPr>
      <w:spacing w:after="160"/>
      <w:ind w:left="720"/>
      <w:contextualSpacing/>
    </w:pPr>
  </w:style>
  <w:style w:type="paragraph" w:customStyle="1" w:styleId="caption12">
    <w:name w:val="caption12"/>
    <w:basedOn w:val="Normal"/>
    <w:qFormat/>
    <w:pPr>
      <w:spacing w:before="120" w:after="120"/>
    </w:pPr>
    <w:rPr>
      <w:i/>
      <w:iCs/>
    </w:rPr>
  </w:style>
  <w:style w:type="paragraph" w:customStyle="1" w:styleId="caption11">
    <w:name w:val="caption11"/>
    <w:basedOn w:val="Normal"/>
    <w:qFormat/>
    <w:pPr>
      <w:spacing w:before="120" w:after="120"/>
    </w:pPr>
    <w:rPr>
      <w:i/>
      <w:iCs/>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Ttulo4">
    <w:name w:val="Título4"/>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2">
    <w:name w:val="Descripción2"/>
    <w:basedOn w:val="Normal"/>
    <w:qFormat/>
    <w:pPr>
      <w:spacing w:before="120" w:after="120"/>
    </w:pPr>
    <w:rPr>
      <w:i/>
      <w:iCs/>
    </w:rPr>
  </w:style>
  <w:style w:type="paragraph" w:customStyle="1" w:styleId="Epgrafe1">
    <w:name w:val="Epígrafe1"/>
    <w:basedOn w:val="Normal"/>
    <w:qFormat/>
    <w:pPr>
      <w:spacing w:before="120" w:after="120"/>
    </w:pPr>
    <w:rPr>
      <w:i/>
      <w:iCs/>
    </w:rPr>
  </w:style>
  <w:style w:type="paragraph" w:customStyle="1" w:styleId="western">
    <w:name w:val="western"/>
    <w:basedOn w:val="Normal"/>
    <w:qFormat/>
    <w:rPr>
      <w:rFonts w:ascii="Times New Roman" w:eastAsia="Calibri" w:hAnsi="Times New Roman"/>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eastAsia="Times New Roman" w:hAnsi="Arial" w:cs="Arial"/>
      <w:color w:val="000000"/>
      <w:kern w:val="2"/>
      <w:lang w:eastAsia="zh-C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extosinformato2">
    <w:name w:val="Texto sin formato2"/>
    <w:basedOn w:val="Normal"/>
    <w:qFormat/>
    <w:rPr>
      <w:rFonts w:ascii="Consolas" w:eastAsia="Calibri" w:hAnsi="Consolas"/>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comentario1">
    <w:name w:val="Texto comentario1"/>
    <w:basedOn w:val="Normal"/>
    <w:qFormat/>
    <w:rPr>
      <w:sz w:val="20"/>
    </w:rPr>
  </w:style>
  <w:style w:type="paragraph" w:customStyle="1" w:styleId="Asuntodelcomentario1">
    <w:name w:val="Asunto del comentario1"/>
    <w:qFormat/>
    <w:rPr>
      <w:rFonts w:ascii="Times New Roman" w:eastAsia="Times New Roman" w:hAnsi="Times New Roman" w:cs="Times New Roman"/>
      <w:b/>
      <w:bCs/>
      <w:sz w:val="20"/>
      <w:szCs w:val="20"/>
      <w:lang w:eastAsia="es-ES_tradnl"/>
    </w:rPr>
  </w:style>
  <w:style w:type="paragraph" w:customStyle="1" w:styleId="Descripcin3">
    <w:name w:val="Descripción3"/>
    <w:basedOn w:val="Normal"/>
    <w:qFormat/>
    <w:pPr>
      <w:spacing w:before="120" w:after="120"/>
    </w:pPr>
    <w:rPr>
      <w:i/>
      <w:iCs/>
    </w:rPr>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styleId="Textodeglobo">
    <w:name w:val="Balloon Text"/>
    <w:basedOn w:val="Normal"/>
    <w:qFormat/>
    <w:rPr>
      <w:rFonts w:ascii="Segoe UI" w:hAnsi="Segoe UI" w:cs="Segoe UI"/>
      <w:sz w:val="18"/>
      <w:szCs w:val="18"/>
    </w:rPr>
  </w:style>
  <w:style w:type="paragraph" w:customStyle="1" w:styleId="Prrafodelista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Textodeglobo1">
    <w:name w:val="Texto de globo1"/>
    <w:basedOn w:val="Normal"/>
    <w:qFormat/>
    <w:rPr>
      <w:rFonts w:ascii="Lucida Grande" w:hAnsi="Lucida Grande" w:cs="Lucida Grande"/>
      <w:sz w:val="18"/>
      <w:szCs w:val="18"/>
    </w:rPr>
  </w:style>
  <w:style w:type="paragraph" w:customStyle="1" w:styleId="Encabezado10">
    <w:name w:val="Encabezado 1"/>
    <w:basedOn w:val="Normal"/>
    <w:next w:val="Normal"/>
    <w:qFormat/>
    <w:pPr>
      <w:keepNext/>
      <w:jc w:val="right"/>
    </w:pPr>
    <w:rPr>
      <w:rFonts w:ascii="Arial" w:eastAsia="Times New Roman" w:hAnsi="Arial" w:cs="Arial"/>
      <w:b/>
      <w:bCs/>
    </w:rPr>
  </w:style>
  <w:style w:type="paragraph" w:customStyle="1" w:styleId="Descripcin1">
    <w:name w:val="Descripción1"/>
    <w:basedOn w:val="Normal"/>
    <w:qFormat/>
    <w:pPr>
      <w:spacing w:before="120" w:after="120"/>
    </w:pPr>
    <w:rPr>
      <w:rFonts w:cs="Lucida Sans"/>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Ttulo2">
    <w:name w:val="Título2"/>
    <w:basedOn w:val="Normal"/>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76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958</Words>
  <Characters>5273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16</cp:revision>
  <dcterms:created xsi:type="dcterms:W3CDTF">2025-12-19T08:42:00Z</dcterms:created>
  <dcterms:modified xsi:type="dcterms:W3CDTF">2025-12-19T11:37:00Z</dcterms:modified>
  <dc:language>es-ES</dc:language>
</cp:coreProperties>
</file>