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5E1" w:rsidRDefault="00F24024">
      <w:r>
        <w:t xml:space="preserve"> </w:t>
      </w:r>
    </w:p>
    <w:p w:rsidR="00C365E1" w:rsidRDefault="00F24024">
      <w:pPr>
        <w:jc w:val="both"/>
      </w:pPr>
      <w:r>
        <w:rPr>
          <w:rFonts w:ascii="Arial Narrow" w:eastAsia="NSimSun" w:hAnsi="Arial Narrow" w:cs="Alef"/>
          <w:b/>
          <w:bCs/>
          <w:spacing w:val="-2"/>
          <w:sz w:val="40"/>
          <w:szCs w:val="40"/>
          <w:lang w:bidi="hi-IN"/>
        </w:rPr>
        <w:t xml:space="preserve">El Ayuntamiento facilita el acceso al centro de la ciudad en el período de rebajas con el apoyo al programa de </w:t>
      </w:r>
      <w:proofErr w:type="spellStart"/>
      <w:r>
        <w:rPr>
          <w:rFonts w:ascii="Arial Narrow" w:eastAsia="NSimSun" w:hAnsi="Arial Narrow" w:cs="Alef"/>
          <w:b/>
          <w:bCs/>
          <w:spacing w:val="-2"/>
          <w:sz w:val="40"/>
          <w:szCs w:val="40"/>
          <w:lang w:bidi="hi-IN"/>
        </w:rPr>
        <w:t>Telpark</w:t>
      </w:r>
      <w:proofErr w:type="spellEnd"/>
      <w:r>
        <w:rPr>
          <w:rFonts w:ascii="Arial Narrow" w:eastAsia="NSimSun" w:hAnsi="Arial Narrow" w:cs="Alef"/>
          <w:b/>
          <w:bCs/>
          <w:spacing w:val="-2"/>
          <w:sz w:val="40"/>
          <w:szCs w:val="40"/>
          <w:lang w:bidi="hi-IN"/>
        </w:rPr>
        <w:t xml:space="preserve"> </w:t>
      </w:r>
      <w:r>
        <w:rPr>
          <w:rFonts w:ascii="Arial Narrow" w:eastAsia="Calibri" w:hAnsi="Arial Narrow" w:cs="Alef"/>
          <w:b/>
          <w:bCs/>
          <w:spacing w:val="-2"/>
          <w:sz w:val="40"/>
          <w:szCs w:val="40"/>
          <w:lang w:bidi="hi-IN"/>
        </w:rPr>
        <w:t>‘Movilidad Comercial Sostenible’</w:t>
      </w:r>
    </w:p>
    <w:p w:rsidR="00C365E1" w:rsidRDefault="00C365E1">
      <w:pPr>
        <w:jc w:val="both"/>
        <w:rPr>
          <w:rFonts w:ascii="Arial Narrow" w:eastAsia="NSimSun" w:hAnsi="Arial Narrow" w:cs="Alef"/>
          <w:b/>
          <w:bCs/>
          <w:spacing w:val="-2"/>
          <w:sz w:val="40"/>
          <w:szCs w:val="40"/>
          <w:lang w:bidi="hi-IN"/>
        </w:rPr>
      </w:pPr>
    </w:p>
    <w:p w:rsidR="00C365E1" w:rsidRDefault="00C365E1">
      <w:pPr>
        <w:jc w:val="both"/>
      </w:pPr>
    </w:p>
    <w:p w:rsidR="00C365E1" w:rsidRDefault="00F24024">
      <w:pPr>
        <w:jc w:val="both"/>
        <w:rPr>
          <w:rFonts w:ascii="Arial Narrow" w:hAnsi="Arial Narrow"/>
          <w:sz w:val="36"/>
          <w:szCs w:val="36"/>
        </w:rPr>
      </w:pPr>
      <w:r>
        <w:rPr>
          <w:rFonts w:ascii="Arial Narrow" w:hAnsi="Arial Narrow"/>
          <w:sz w:val="36"/>
          <w:szCs w:val="36"/>
        </w:rPr>
        <w:t xml:space="preserve">Los bonos estarán disponibles entre el 7 y el 31 de enero y permitirán estacionar 12 horas por menos de 2,50 euros en los aparcamientos de la Plaza del Mamelón y Alameda Vieja </w:t>
      </w:r>
    </w:p>
    <w:p w:rsidR="00C365E1" w:rsidRDefault="00C365E1">
      <w:pPr>
        <w:jc w:val="both"/>
      </w:pPr>
    </w:p>
    <w:p w:rsidR="00C365E1" w:rsidRDefault="006D4F98" w:rsidP="00F24024">
      <w:pPr>
        <w:spacing w:before="240"/>
        <w:jc w:val="both"/>
        <w:rPr>
          <w:rFonts w:ascii="Arial Narrow" w:hAnsi="Arial Narrow"/>
          <w:sz w:val="26"/>
          <w:szCs w:val="26"/>
        </w:rPr>
      </w:pPr>
      <w:r>
        <w:rPr>
          <w:rFonts w:ascii="Arial Narrow" w:eastAsia="Calibri" w:hAnsi="Arial Narrow"/>
          <w:b/>
          <w:bCs/>
          <w:sz w:val="26"/>
          <w:szCs w:val="26"/>
        </w:rPr>
        <w:t>5</w:t>
      </w:r>
      <w:r w:rsidR="00F24024">
        <w:rPr>
          <w:rFonts w:ascii="Arial Narrow" w:eastAsia="Calibri" w:hAnsi="Arial Narrow"/>
          <w:b/>
          <w:bCs/>
          <w:sz w:val="26"/>
          <w:szCs w:val="26"/>
        </w:rPr>
        <w:t xml:space="preserve"> de enero de 2026</w:t>
      </w:r>
      <w:r w:rsidR="00F24024">
        <w:rPr>
          <w:rFonts w:ascii="Arial Narrow" w:eastAsia="Calibri" w:hAnsi="Arial Narrow"/>
          <w:sz w:val="26"/>
          <w:szCs w:val="26"/>
        </w:rPr>
        <w:t xml:space="preserve">. El Ayuntamiento, a través del Departamento municipal de Empleo, Comercio y Consumo que dirige </w:t>
      </w:r>
      <w:proofErr w:type="spellStart"/>
      <w:r w:rsidR="00F24024">
        <w:rPr>
          <w:rFonts w:ascii="Arial Narrow" w:eastAsia="Calibri" w:hAnsi="Arial Narrow"/>
          <w:sz w:val="26"/>
          <w:szCs w:val="26"/>
        </w:rPr>
        <w:t>Nela</w:t>
      </w:r>
      <w:proofErr w:type="spellEnd"/>
      <w:r w:rsidR="00F24024">
        <w:rPr>
          <w:rFonts w:ascii="Arial Narrow" w:eastAsia="Calibri" w:hAnsi="Arial Narrow"/>
          <w:sz w:val="26"/>
          <w:szCs w:val="26"/>
        </w:rPr>
        <w:t xml:space="preserve"> García, y la empresa ‘</w:t>
      </w:r>
      <w:proofErr w:type="spellStart"/>
      <w:r w:rsidR="00F24024">
        <w:rPr>
          <w:rFonts w:ascii="Arial Narrow" w:eastAsia="Calibri" w:hAnsi="Arial Narrow"/>
          <w:sz w:val="26"/>
          <w:szCs w:val="26"/>
        </w:rPr>
        <w:t>Telpark</w:t>
      </w:r>
      <w:proofErr w:type="spellEnd"/>
      <w:r w:rsidR="00F24024">
        <w:rPr>
          <w:rFonts w:ascii="Arial Narrow" w:eastAsia="Calibri" w:hAnsi="Arial Narrow"/>
          <w:sz w:val="26"/>
          <w:szCs w:val="26"/>
        </w:rPr>
        <w:t>’ han renovado un año más el ‘Programa Municipal de Movilidad Comercial Sostenible’, u</w:t>
      </w:r>
      <w:r w:rsidR="00F24024">
        <w:rPr>
          <w:rFonts w:ascii="Arial Narrow" w:hAnsi="Arial Narrow"/>
          <w:sz w:val="26"/>
          <w:szCs w:val="26"/>
        </w:rPr>
        <w:t>na iniciativa diseñada para facilitar el acceso al centro de la ciudad durante el período de rebajas y promover una movilidad más eficiente y respetuosa con el entorno.</w:t>
      </w:r>
    </w:p>
    <w:p w:rsidR="00C365E1" w:rsidRDefault="00F24024" w:rsidP="00F24024">
      <w:pPr>
        <w:spacing w:before="240"/>
        <w:jc w:val="both"/>
        <w:rPr>
          <w:rFonts w:ascii="Arial Narrow" w:hAnsi="Arial Narrow"/>
        </w:rPr>
      </w:pPr>
      <w:r>
        <w:rPr>
          <w:rFonts w:ascii="Arial Narrow" w:hAnsi="Arial Narrow"/>
          <w:sz w:val="26"/>
          <w:szCs w:val="26"/>
        </w:rPr>
        <w:t xml:space="preserve">Entre el </w:t>
      </w:r>
      <w:r>
        <w:rPr>
          <w:rFonts w:ascii="Arial Narrow" w:hAnsi="Arial Narrow"/>
          <w:bCs/>
          <w:sz w:val="26"/>
          <w:szCs w:val="26"/>
        </w:rPr>
        <w:t>7 y el 31 de enero</w:t>
      </w:r>
      <w:r>
        <w:rPr>
          <w:rFonts w:ascii="Arial Narrow" w:hAnsi="Arial Narrow"/>
          <w:sz w:val="26"/>
          <w:szCs w:val="26"/>
        </w:rPr>
        <w:t xml:space="preserve">, los ciudadanos podrán </w:t>
      </w:r>
      <w:r>
        <w:rPr>
          <w:rFonts w:ascii="Arial Narrow" w:hAnsi="Arial Narrow"/>
          <w:bCs/>
          <w:sz w:val="26"/>
          <w:szCs w:val="26"/>
        </w:rPr>
        <w:t>aparcar durante 12 horas por 2,29  euros en el parking de la Alameda Vieja y por 2,49  euros en la Plaza del Mamelón</w:t>
      </w:r>
      <w:r>
        <w:rPr>
          <w:rFonts w:ascii="Arial Narrow" w:hAnsi="Arial Narrow"/>
          <w:sz w:val="26"/>
          <w:szCs w:val="26"/>
        </w:rPr>
        <w:t xml:space="preserve"> a través de los bonos ‘</w:t>
      </w:r>
      <w:proofErr w:type="spellStart"/>
      <w:r>
        <w:rPr>
          <w:rFonts w:ascii="Arial Narrow" w:hAnsi="Arial Narrow"/>
          <w:sz w:val="26"/>
          <w:szCs w:val="26"/>
        </w:rPr>
        <w:t>Multipass</w:t>
      </w:r>
      <w:proofErr w:type="spellEnd"/>
      <w:r>
        <w:rPr>
          <w:rFonts w:ascii="Arial Narrow" w:hAnsi="Arial Narrow"/>
          <w:sz w:val="26"/>
          <w:szCs w:val="26"/>
        </w:rPr>
        <w:t>’, disponibles en modalidades de 5, 10 y 20 usos. Estos pas</w:t>
      </w:r>
      <w:r>
        <w:rPr>
          <w:rFonts w:ascii="Arial Narrow" w:hAnsi="Arial Narrow"/>
          <w:bCs/>
          <w:sz w:val="26"/>
          <w:szCs w:val="26"/>
        </w:rPr>
        <w:t>es, válidos durante un año</w:t>
      </w:r>
      <w:r>
        <w:rPr>
          <w:rFonts w:ascii="Arial Narrow" w:hAnsi="Arial Narrow"/>
          <w:sz w:val="26"/>
          <w:szCs w:val="26"/>
        </w:rPr>
        <w:t>, pueden adquirirse mediante la aplicación ‘</w:t>
      </w:r>
      <w:proofErr w:type="spellStart"/>
      <w:r>
        <w:rPr>
          <w:rFonts w:ascii="Arial Narrow" w:hAnsi="Arial Narrow"/>
          <w:sz w:val="26"/>
          <w:szCs w:val="26"/>
        </w:rPr>
        <w:t>Telpark</w:t>
      </w:r>
      <w:proofErr w:type="spellEnd"/>
      <w:r>
        <w:rPr>
          <w:rFonts w:ascii="Arial Narrow" w:hAnsi="Arial Narrow"/>
          <w:sz w:val="26"/>
          <w:szCs w:val="26"/>
        </w:rPr>
        <w:t>’ y permiten entrar y salir del aparcamiento automáticamente con la lectura digital de la matrícula, evitando el uso de ticket y agilizando el proceso. Además, el usuario puede modificar la matrícula asociada al bono de forma flexible desde la propia app.</w:t>
      </w:r>
    </w:p>
    <w:p w:rsidR="00C365E1" w:rsidRDefault="00F24024" w:rsidP="00F24024">
      <w:pPr>
        <w:spacing w:before="240"/>
        <w:jc w:val="both"/>
        <w:rPr>
          <w:rFonts w:ascii="Arial Narrow" w:hAnsi="Arial Narrow"/>
        </w:rPr>
      </w:pPr>
      <w:r>
        <w:rPr>
          <w:rFonts w:ascii="Arial Narrow" w:hAnsi="Arial Narrow"/>
          <w:bCs/>
          <w:sz w:val="26"/>
          <w:szCs w:val="26"/>
        </w:rPr>
        <w:t>Además, este año, la campaña incorpora un incentivo adicional orientado a promover una movilidad más sostenible, ya que contempla un 30 por ciento de descuento en la recarga de vehículos eléctricos para quienes adquieran un bono ‘</w:t>
      </w:r>
      <w:proofErr w:type="spellStart"/>
      <w:r>
        <w:rPr>
          <w:rFonts w:ascii="Arial Narrow" w:hAnsi="Arial Narrow"/>
          <w:bCs/>
          <w:sz w:val="26"/>
          <w:szCs w:val="26"/>
        </w:rPr>
        <w:t>Multipass</w:t>
      </w:r>
      <w:proofErr w:type="spellEnd"/>
      <w:r>
        <w:rPr>
          <w:rFonts w:ascii="Arial Narrow" w:hAnsi="Arial Narrow"/>
          <w:bCs/>
          <w:sz w:val="26"/>
          <w:szCs w:val="26"/>
        </w:rPr>
        <w:t>’, aplicable en los aparcamientos ‘</w:t>
      </w:r>
      <w:proofErr w:type="spellStart"/>
      <w:r>
        <w:rPr>
          <w:rFonts w:ascii="Arial Narrow" w:hAnsi="Arial Narrow"/>
          <w:bCs/>
          <w:sz w:val="26"/>
          <w:szCs w:val="26"/>
        </w:rPr>
        <w:t>Telpark</w:t>
      </w:r>
      <w:proofErr w:type="spellEnd"/>
      <w:r>
        <w:rPr>
          <w:rFonts w:ascii="Arial Narrow" w:hAnsi="Arial Narrow"/>
          <w:bCs/>
          <w:sz w:val="26"/>
          <w:szCs w:val="26"/>
        </w:rPr>
        <w:t xml:space="preserve">’ de la ciudad. </w:t>
      </w:r>
    </w:p>
    <w:p w:rsidR="00F24024" w:rsidRDefault="00F24024" w:rsidP="00F24024">
      <w:pPr>
        <w:spacing w:before="240"/>
        <w:jc w:val="both"/>
        <w:rPr>
          <w:rFonts w:ascii="Arial Narrow" w:hAnsi="Arial Narrow"/>
          <w:bCs/>
          <w:sz w:val="26"/>
          <w:szCs w:val="26"/>
        </w:rPr>
      </w:pPr>
      <w:r>
        <w:rPr>
          <w:rFonts w:ascii="Arial Narrow" w:hAnsi="Arial Narrow"/>
          <w:bCs/>
          <w:sz w:val="26"/>
          <w:szCs w:val="26"/>
        </w:rPr>
        <w:t xml:space="preserve">Con estas posibilidades para realizar compras en el corazón de la ciudad y disfrutar de su oferta gastronómica, la delegada de Empleo ha resaltado que “desde el Ayuntamiento se apuesta por una movilidad más sostenible, reforzando el compromiso municipal de incentivar el uso del vehículo eléctrico y reduciendo el tráfico asociado a la búsqueda de aparcamiento”. </w:t>
      </w:r>
    </w:p>
    <w:p w:rsidR="00C365E1" w:rsidRDefault="00F24024" w:rsidP="00F24024">
      <w:pPr>
        <w:spacing w:before="240"/>
        <w:jc w:val="both"/>
        <w:rPr>
          <w:rFonts w:ascii="Arial Narrow" w:hAnsi="Arial Narrow"/>
          <w:sz w:val="26"/>
          <w:szCs w:val="26"/>
        </w:rPr>
      </w:pPr>
      <w:r>
        <w:rPr>
          <w:rFonts w:ascii="Arial Narrow" w:hAnsi="Arial Narrow"/>
          <w:bCs/>
          <w:sz w:val="26"/>
          <w:szCs w:val="26"/>
        </w:rPr>
        <w:t>“Esta campaña está destinada a miles de jerezanos y jerezanas,  contribuyendo a incrementar la afluencia de público a la zona comercial y de restauración del centro histórico durante las rebajas” ha añadido García, quien ha subrayado que “este ‘</w:t>
      </w:r>
      <w:r>
        <w:rPr>
          <w:rFonts w:ascii="Arial Narrow" w:hAnsi="Arial Narrow"/>
          <w:sz w:val="26"/>
          <w:szCs w:val="26"/>
        </w:rPr>
        <w:t xml:space="preserve">Programa </w:t>
      </w:r>
      <w:r>
        <w:rPr>
          <w:rFonts w:ascii="Arial Narrow" w:hAnsi="Arial Narrow"/>
          <w:sz w:val="26"/>
          <w:szCs w:val="26"/>
        </w:rPr>
        <w:lastRenderedPageBreak/>
        <w:t xml:space="preserve">Municipal de Movilidad Comercial Sostenible’ es una herramienta eficaz que garantiza a la ciudadanía un acceso cómodo y asequible al centro en un período clave para las compras después de las fiestas”. </w:t>
      </w:r>
    </w:p>
    <w:p w:rsidR="00C365E1" w:rsidRDefault="00F24024" w:rsidP="00F24024">
      <w:pPr>
        <w:spacing w:before="240"/>
        <w:jc w:val="both"/>
        <w:rPr>
          <w:rFonts w:ascii="Arial Narrow" w:hAnsi="Arial Narrow"/>
        </w:rPr>
      </w:pPr>
      <w:r>
        <w:rPr>
          <w:rFonts w:ascii="Arial Narrow" w:hAnsi="Arial Narrow"/>
          <w:sz w:val="26"/>
          <w:szCs w:val="26"/>
        </w:rPr>
        <w:t xml:space="preserve">Por su parte, José María </w:t>
      </w:r>
      <w:proofErr w:type="spellStart"/>
      <w:r>
        <w:rPr>
          <w:rFonts w:ascii="Arial Narrow" w:hAnsi="Arial Narrow"/>
          <w:sz w:val="26"/>
          <w:szCs w:val="26"/>
        </w:rPr>
        <w:t>Fayos</w:t>
      </w:r>
      <w:proofErr w:type="spellEnd"/>
      <w:r>
        <w:rPr>
          <w:rFonts w:ascii="Arial Narrow" w:hAnsi="Arial Narrow"/>
          <w:sz w:val="26"/>
          <w:szCs w:val="26"/>
        </w:rPr>
        <w:t>, responsable de la Dirección Sur de ‘</w:t>
      </w:r>
      <w:proofErr w:type="spellStart"/>
      <w:r>
        <w:rPr>
          <w:rFonts w:ascii="Arial Narrow" w:hAnsi="Arial Narrow"/>
          <w:sz w:val="26"/>
          <w:szCs w:val="26"/>
        </w:rPr>
        <w:t>Telpark</w:t>
      </w:r>
      <w:proofErr w:type="spellEnd"/>
      <w:r>
        <w:rPr>
          <w:rFonts w:ascii="Arial Narrow" w:hAnsi="Arial Narrow"/>
          <w:sz w:val="26"/>
          <w:szCs w:val="26"/>
        </w:rPr>
        <w:t>’, ha añadido que “esta colaboración estable con el Ayuntamiento de Jerez permite ofrecer soluciones digitales, accesibles y sostenibles que facilitan la movilidad y apoyan directamente la actividad económica local”.</w:t>
      </w:r>
    </w:p>
    <w:p w:rsidR="00C365E1" w:rsidRDefault="00C365E1" w:rsidP="00F24024">
      <w:pPr>
        <w:spacing w:after="200"/>
        <w:jc w:val="both"/>
        <w:rPr>
          <w:rStyle w:val="Ninguno"/>
          <w:rFonts w:ascii="Arial Narrow" w:hAnsi="Arial Narrow"/>
          <w:sz w:val="26"/>
          <w:szCs w:val="26"/>
        </w:rPr>
      </w:pPr>
    </w:p>
    <w:p w:rsidR="00C365E1" w:rsidRDefault="00AA2CC7" w:rsidP="00F24024">
      <w:pPr>
        <w:spacing w:after="200"/>
        <w:jc w:val="both"/>
        <w:rPr>
          <w:rStyle w:val="Ninguno"/>
          <w:rFonts w:ascii="Arial Narrow" w:hAnsi="Arial Narrow"/>
          <w:sz w:val="26"/>
          <w:szCs w:val="26"/>
        </w:rPr>
      </w:pPr>
      <w:r>
        <w:rPr>
          <w:rStyle w:val="Ninguno"/>
          <w:rFonts w:ascii="Arial Narrow" w:hAnsi="Arial Narrow"/>
          <w:sz w:val="26"/>
          <w:szCs w:val="26"/>
        </w:rPr>
        <w:t>(Se adjunta</w:t>
      </w:r>
      <w:r w:rsidR="00F24024">
        <w:rPr>
          <w:rStyle w:val="Ninguno"/>
          <w:rFonts w:ascii="Arial Narrow" w:hAnsi="Arial Narrow"/>
          <w:sz w:val="26"/>
          <w:szCs w:val="26"/>
        </w:rPr>
        <w:t xml:space="preserve"> </w:t>
      </w:r>
      <w:r>
        <w:rPr>
          <w:rStyle w:val="Ninguno"/>
          <w:rFonts w:ascii="Arial Narrow" w:hAnsi="Arial Narrow"/>
          <w:sz w:val="26"/>
          <w:szCs w:val="26"/>
        </w:rPr>
        <w:t>fotografía</w:t>
      </w:r>
      <w:bookmarkStart w:id="0" w:name="_GoBack"/>
      <w:bookmarkEnd w:id="0"/>
      <w:r w:rsidR="00F24024">
        <w:rPr>
          <w:rStyle w:val="Ninguno"/>
          <w:rFonts w:ascii="Arial Narrow" w:hAnsi="Arial Narrow"/>
          <w:sz w:val="26"/>
          <w:szCs w:val="26"/>
        </w:rPr>
        <w:t>)</w:t>
      </w:r>
    </w:p>
    <w:sectPr w:rsidR="00C365E1">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ECB" w:rsidRDefault="00F24024">
      <w:r>
        <w:separator/>
      </w:r>
    </w:p>
  </w:endnote>
  <w:endnote w:type="continuationSeparator" w:id="0">
    <w:p w:rsidR="005B4ECB" w:rsidRDefault="00F2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0">
    <w:panose1 w:val="00000000000000000000"/>
    <w:charset w:val="00"/>
    <w:family w:val="roman"/>
    <w:notTrueType/>
    <w:pitch w:val="default"/>
  </w:font>
  <w:font w:name="Aptos Display">
    <w:charset w:val="00"/>
    <w:family w:val="roman"/>
    <w:pitch w:val="variable"/>
  </w:font>
  <w:font w:name="Aptos">
    <w:panose1 w:val="00000000000000000000"/>
    <w:charset w:val="00"/>
    <w:family w:val="roman"/>
    <w:notTrueType/>
    <w:pitch w:val="default"/>
  </w:font>
  <w:font w:name="NSimSun">
    <w:panose1 w:val="02010609030101010101"/>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 w:name="Alef">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ECB" w:rsidRDefault="00F24024">
      <w:r>
        <w:separator/>
      </w:r>
    </w:p>
  </w:footnote>
  <w:footnote w:type="continuationSeparator" w:id="0">
    <w:p w:rsidR="005B4ECB" w:rsidRDefault="00F240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5E1" w:rsidRDefault="00F24024">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C365E1" w:rsidRDefault="00C365E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4B7210"/>
    <w:multiLevelType w:val="multilevel"/>
    <w:tmpl w:val="2FF891FA"/>
    <w:lvl w:ilvl="0">
      <w:start w:val="1"/>
      <w:numFmt w:val="none"/>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6280AE6"/>
    <w:multiLevelType w:val="multilevel"/>
    <w:tmpl w:val="95E4CB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5E1"/>
    <w:rsid w:val="005B4ECB"/>
    <w:rsid w:val="006D4F98"/>
    <w:rsid w:val="00AA2CC7"/>
    <w:rsid w:val="00C365E1"/>
    <w:rsid w:val="00F2402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3242E5-83C4-4985-90BB-EB341AEE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Puesto"/>
    <w:next w:val="Textoindependiente"/>
    <w:qFormat/>
    <w:pPr>
      <w:numPr>
        <w:ilvl w:val="1"/>
        <w:numId w:val="1"/>
      </w:numPr>
      <w:spacing w:before="200"/>
      <w:outlineLvl w:val="1"/>
    </w:pPr>
    <w:rPr>
      <w:b/>
      <w:bCs/>
      <w:sz w:val="32"/>
      <w:szCs w:val="32"/>
    </w:rPr>
  </w:style>
  <w:style w:type="paragraph" w:styleId="Ttulo4">
    <w:name w:val="heading 4"/>
    <w:basedOn w:val="Puest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Ninguno">
    <w:name w:val="Ninguno"/>
    <w:qFormat/>
    <w:rPr>
      <w:lang w:val="es-ES_tradnl"/>
    </w:rPr>
  </w:style>
  <w:style w:type="character" w:customStyle="1" w:styleId="Fuentedeprrafopredeter18">
    <w:name w:val="Fuente de párrafo predeter.18"/>
    <w:qFormat/>
  </w:style>
  <w:style w:type="character" w:styleId="Hipervnculo">
    <w:name w:val="Hyperlink"/>
    <w:basedOn w:val="Fuentedeprrafopredeter"/>
    <w:rPr>
      <w:color w:val="0000EE"/>
      <w:u w:val="single"/>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styleId="nfasis">
    <w:name w:val="Emphasis"/>
    <w:qFormat/>
    <w:rPr>
      <w:i/>
      <w:iCs/>
    </w:rPr>
  </w:style>
  <w:style w:type="character" w:styleId="Textoennegrita">
    <w:name w:val="Strong"/>
    <w:qFormat/>
    <w:rPr>
      <w:b/>
      <w:bCs/>
    </w:rPr>
  </w:style>
  <w:style w:type="character" w:customStyle="1" w:styleId="TextodegloboCar">
    <w:name w:val="Texto de globo Car"/>
    <w:qFormat/>
    <w:rPr>
      <w:rFonts w:ascii="Segoe UI" w:eastAsia="Arial" w:hAnsi="Segoe UI" w:cs="Segoe UI"/>
      <w:color w:val="000000"/>
      <w:sz w:val="18"/>
      <w:szCs w:val="18"/>
    </w:rPr>
  </w:style>
  <w:style w:type="character" w:customStyle="1" w:styleId="eop">
    <w:name w:val="eop"/>
    <w:qFormat/>
    <w:rPr>
      <w:rFonts w:ascii="Times New Roman" w:eastAsia="Times New Roman" w:hAnsi="Times New Roman" w:cs="Times New Roman"/>
      <w:color w:val="000000"/>
      <w:sz w:val="24"/>
      <w:szCs w:val="24"/>
    </w:rPr>
  </w:style>
  <w:style w:type="character" w:customStyle="1" w:styleId="normaltextrun">
    <w:name w:val="normaltextrun"/>
    <w:qFormat/>
    <w:rPr>
      <w:rFonts w:ascii="Times New Roman" w:eastAsia="Times New Roman" w:hAnsi="Times New Roman" w:cs="Times New Roman"/>
      <w:color w:val="000000"/>
      <w:sz w:val="24"/>
      <w:szCs w:val="24"/>
    </w:rPr>
  </w:style>
  <w:style w:type="character" w:customStyle="1" w:styleId="Vietas">
    <w:name w:val="Viñetas"/>
    <w:qFormat/>
    <w:rPr>
      <w:rFonts w:ascii="OpenSymbol" w:eastAsia="OpenSymbol" w:hAnsi="OpenSymbol" w:cs="OpenSymbol"/>
    </w:rPr>
  </w:style>
  <w:style w:type="character" w:customStyle="1" w:styleId="TextosinformatoCar">
    <w:name w:val="Texto sin formato Car"/>
    <w:qFormat/>
    <w:rPr>
      <w:rFonts w:ascii="Calibri" w:eastAsia="Times New Roman" w:hAnsi="Calibri" w:cs="Times New Roman"/>
      <w:color w:val="000000"/>
      <w:sz w:val="22"/>
      <w:szCs w:val="21"/>
    </w:rPr>
  </w:style>
  <w:style w:type="character" w:customStyle="1" w:styleId="TextoindependienteCar">
    <w:name w:val="Texto independiente Car"/>
    <w:qFormat/>
    <w:rPr>
      <w:rFonts w:ascii="Arial" w:eastAsia="Arial" w:hAnsi="Arial"/>
      <w:color w:val="000000"/>
      <w:sz w:val="40"/>
      <w:szCs w:val="40"/>
    </w:rPr>
  </w:style>
  <w:style w:type="character" w:styleId="Referenciaintensa">
    <w:name w:val="Intense Reference"/>
    <w:qFormat/>
    <w:rPr>
      <w:rFonts w:ascii="Times New Roman" w:eastAsia="Times New Roman" w:hAnsi="Times New Roman" w:cs="Times New Roman"/>
      <w:b/>
      <w:bCs/>
      <w:smallCaps/>
      <w:color w:val="0F4761"/>
      <w:spacing w:val="5"/>
      <w:sz w:val="24"/>
      <w:szCs w:val="24"/>
    </w:rPr>
  </w:style>
  <w:style w:type="character" w:customStyle="1" w:styleId="CitadestacadaCar">
    <w:name w:val="Cita destacada Car"/>
    <w:qFormat/>
    <w:rPr>
      <w:rFonts w:ascii="Times New Roman" w:eastAsia="Times New Roman" w:hAnsi="Times New Roman" w:cs="Times New Roman"/>
      <w:i/>
      <w:iCs/>
      <w:color w:val="0F4761"/>
      <w:sz w:val="24"/>
      <w:szCs w:val="24"/>
    </w:rPr>
  </w:style>
  <w:style w:type="character" w:styleId="nfasisintenso">
    <w:name w:val="Intense Emphasis"/>
    <w:qFormat/>
    <w:rPr>
      <w:rFonts w:ascii="Times New Roman" w:eastAsia="Times New Roman" w:hAnsi="Times New Roman" w:cs="Times New Roman"/>
      <w:i/>
      <w:iCs/>
      <w:color w:val="0F4761"/>
      <w:sz w:val="24"/>
      <w:szCs w:val="24"/>
    </w:rPr>
  </w:style>
  <w:style w:type="character" w:customStyle="1" w:styleId="CitaCar">
    <w:name w:val="Cita Car"/>
    <w:qFormat/>
    <w:rPr>
      <w:rFonts w:ascii="Times New Roman" w:eastAsia="Times New Roman" w:hAnsi="Times New Roman" w:cs="Times New Roman"/>
      <w:i/>
      <w:iCs/>
      <w:color w:val="404040"/>
      <w:sz w:val="24"/>
      <w:szCs w:val="24"/>
    </w:rPr>
  </w:style>
  <w:style w:type="character" w:customStyle="1" w:styleId="SubttuloCar">
    <w:name w:val="Subtítulo Car"/>
    <w:qFormat/>
    <w:rPr>
      <w:rFonts w:ascii="Times New Roman" w:hAnsi="Times New Roman" w:cs="0"/>
      <w:color w:val="595959"/>
      <w:spacing w:val="15"/>
      <w:sz w:val="28"/>
      <w:szCs w:val="28"/>
    </w:rPr>
  </w:style>
  <w:style w:type="character" w:customStyle="1" w:styleId="TtuloCar">
    <w:name w:val="Título Car"/>
    <w:qFormat/>
    <w:rPr>
      <w:rFonts w:ascii="Aptos Display" w:hAnsi="Aptos Display" w:cs="0"/>
      <w:color w:val="000000"/>
      <w:spacing w:val="-10"/>
      <w:kern w:val="2"/>
      <w:sz w:val="56"/>
      <w:szCs w:val="56"/>
    </w:rPr>
  </w:style>
  <w:style w:type="character" w:customStyle="1" w:styleId="Ttulo9Car">
    <w:name w:val="Título 9 Car"/>
    <w:qFormat/>
    <w:rPr>
      <w:rFonts w:ascii="Times New Roman" w:hAnsi="Times New Roman" w:cs="0"/>
      <w:color w:val="272727"/>
      <w:sz w:val="24"/>
      <w:szCs w:val="24"/>
    </w:rPr>
  </w:style>
  <w:style w:type="character" w:customStyle="1" w:styleId="Ttulo8Car">
    <w:name w:val="Título 8 Car"/>
    <w:qFormat/>
    <w:rPr>
      <w:rFonts w:ascii="Times New Roman" w:hAnsi="Times New Roman" w:cs="0"/>
      <w:i/>
      <w:iCs/>
      <w:color w:val="272727"/>
      <w:sz w:val="24"/>
      <w:szCs w:val="24"/>
    </w:rPr>
  </w:style>
  <w:style w:type="character" w:customStyle="1" w:styleId="Ttulo7Car">
    <w:name w:val="Título 7 Car"/>
    <w:qFormat/>
    <w:rPr>
      <w:rFonts w:ascii="Times New Roman" w:hAnsi="Times New Roman" w:cs="0"/>
      <w:color w:val="595959"/>
      <w:sz w:val="24"/>
      <w:szCs w:val="24"/>
    </w:rPr>
  </w:style>
  <w:style w:type="character" w:customStyle="1" w:styleId="Ttulo6Car">
    <w:name w:val="Título 6 Car"/>
    <w:qFormat/>
    <w:rPr>
      <w:rFonts w:ascii="Times New Roman" w:hAnsi="Times New Roman" w:cs="0"/>
      <w:i/>
      <w:iCs/>
      <w:color w:val="595959"/>
      <w:sz w:val="24"/>
      <w:szCs w:val="24"/>
    </w:rPr>
  </w:style>
  <w:style w:type="character" w:customStyle="1" w:styleId="Ttulo5Car">
    <w:name w:val="Título 5 Car"/>
    <w:qFormat/>
    <w:rPr>
      <w:rFonts w:ascii="Times New Roman" w:hAnsi="Times New Roman" w:cs="0"/>
      <w:color w:val="0F4761"/>
      <w:sz w:val="24"/>
      <w:szCs w:val="24"/>
    </w:rPr>
  </w:style>
  <w:style w:type="character" w:customStyle="1" w:styleId="Ttulo4Car">
    <w:name w:val="Título 4 Car"/>
    <w:qFormat/>
    <w:rPr>
      <w:rFonts w:ascii="Times New Roman" w:hAnsi="Times New Roman" w:cs="0"/>
      <w:i/>
      <w:iCs/>
      <w:color w:val="0F4761"/>
      <w:sz w:val="24"/>
      <w:szCs w:val="24"/>
    </w:rPr>
  </w:style>
  <w:style w:type="character" w:customStyle="1" w:styleId="Ttulo3Car">
    <w:name w:val="Título 3 Car"/>
    <w:qFormat/>
    <w:rPr>
      <w:rFonts w:ascii="Times New Roman" w:hAnsi="Times New Roman" w:cs="0"/>
      <w:color w:val="0F4761"/>
      <w:sz w:val="28"/>
      <w:szCs w:val="28"/>
    </w:rPr>
  </w:style>
  <w:style w:type="character" w:customStyle="1" w:styleId="Ttulo2Car">
    <w:name w:val="Título 2 Car"/>
    <w:qFormat/>
    <w:rPr>
      <w:rFonts w:ascii="Aptos Display" w:hAnsi="Aptos Display" w:cs="0"/>
      <w:color w:val="0F4761"/>
      <w:sz w:val="32"/>
      <w:szCs w:val="32"/>
    </w:rPr>
  </w:style>
  <w:style w:type="character" w:customStyle="1" w:styleId="Ttulo1Car">
    <w:name w:val="Título 1 Car"/>
    <w:qFormat/>
    <w:rPr>
      <w:rFonts w:ascii="Aptos Display" w:hAnsi="Aptos Display" w:cs="0"/>
      <w:color w:val="0F4761"/>
      <w:sz w:val="40"/>
      <w:szCs w:val="40"/>
    </w:rPr>
  </w:style>
  <w:style w:type="character" w:customStyle="1" w:styleId="Hipervnculo1">
    <w:name w:val="Hipervínculo1"/>
    <w:qFormat/>
    <w:rPr>
      <w:color w:val="0563C1"/>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pacing w:before="120" w:after="120"/>
    </w:pPr>
    <w:rPr>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justificar">
    <w:name w:val="justificar"/>
    <w:basedOn w:val="Normal"/>
    <w:qFormat/>
    <w:pPr>
      <w:suppressAutoHyphens w:val="0"/>
      <w:spacing w:before="280" w:after="280"/>
    </w:pPr>
    <w:rPr>
      <w:rFonts w:ascii="Times New Roman" w:eastAsia="Times New Roman" w:hAnsi="Times New Roman"/>
      <w:lang w:eastAsia="es-ES"/>
    </w:rPr>
  </w:style>
  <w:style w:type="paragraph" w:styleId="Textodeglobo">
    <w:name w:val="Balloon Text"/>
    <w:basedOn w:val="Normal"/>
    <w:qFormat/>
    <w:rPr>
      <w:rFonts w:ascii="Segoe UI" w:hAnsi="Segoe UI" w:cs="Segoe UI"/>
      <w:sz w:val="18"/>
      <w:szCs w:val="18"/>
    </w:rPr>
  </w:style>
  <w:style w:type="paragraph" w:customStyle="1" w:styleId="paragraph">
    <w:name w:val="paragraph"/>
    <w:basedOn w:val="Normal"/>
    <w:qFormat/>
    <w:pPr>
      <w:spacing w:beforeAutospacing="1" w:afterAutospacing="1"/>
    </w:pPr>
    <w:rPr>
      <w:rFonts w:ascii="Times New Roman" w:eastAsia="Times New Roman" w:hAnsi="Times New Roman" w:cs="Times New Roman"/>
      <w:lang w:eastAsia="es-ES"/>
    </w:rPr>
  </w:style>
  <w:style w:type="paragraph" w:styleId="NormalWeb">
    <w:name w:val="Normal (Web)"/>
    <w:basedOn w:val="Normal"/>
    <w:qFormat/>
    <w:pPr>
      <w:suppressAutoHyphens w:val="0"/>
      <w:spacing w:beforeAutospacing="1" w:afterAutospacing="1"/>
    </w:pPr>
    <w:rPr>
      <w:rFonts w:ascii="Times New Roman" w:eastAsia="Aptos" w:hAnsi="Times New Roman" w:cs="Times New Roman"/>
      <w:lang w:eastAsia="es-ES"/>
    </w:rPr>
  </w:style>
  <w:style w:type="paragraph" w:styleId="Textosinformato">
    <w:name w:val="Plain Text"/>
    <w:basedOn w:val="Normal"/>
    <w:qFormat/>
    <w:pPr>
      <w:suppressAutoHyphens w:val="0"/>
    </w:pPr>
    <w:rPr>
      <w:rFonts w:ascii="Calibri" w:eastAsia="Aptos" w:hAnsi="Calibri" w:cs="0"/>
      <w:szCs w:val="21"/>
    </w:rPr>
  </w:style>
  <w:style w:type="paragraph" w:customStyle="1" w:styleId="Default">
    <w:name w:val="Default"/>
    <w:qFormat/>
    <w:pPr>
      <w:suppressAutoHyphens w:val="0"/>
    </w:pPr>
    <w:rPr>
      <w:rFonts w:ascii="Arial" w:eastAsia="Aptos" w:hAnsi="Arial" w:cs="Arial"/>
      <w:color w:val="000000"/>
      <w:lang w:eastAsia="zh-CN" w:bidi="hi-IN"/>
    </w:rPr>
  </w:style>
  <w:style w:type="paragraph" w:customStyle="1" w:styleId="TableParagraph">
    <w:name w:val="Table Paragraph"/>
    <w:basedOn w:val="Normal"/>
    <w:qFormat/>
    <w:pPr>
      <w:spacing w:before="16"/>
      <w:ind w:left="107"/>
    </w:pPr>
    <w:rPr>
      <w:rFonts w:ascii="Calibri" w:eastAsia="Calibri" w:hAnsi="Calibri" w:cs="Calibri"/>
    </w:rPr>
  </w:style>
  <w:style w:type="paragraph" w:styleId="Citadestacada">
    <w:name w:val="Intense Quote"/>
    <w:basedOn w:val="Normal"/>
    <w:next w:val="Normal"/>
    <w:qFormat/>
    <w:pPr>
      <w:pBdr>
        <w:top w:val="single" w:sz="4" w:space="10" w:color="0F4761"/>
        <w:bottom w:val="single" w:sz="4" w:space="10" w:color="0F4761"/>
      </w:pBdr>
      <w:spacing w:before="360" w:after="360"/>
      <w:ind w:left="864" w:right="864"/>
      <w:jc w:val="center"/>
    </w:pPr>
    <w:rPr>
      <w:i/>
      <w:iCs/>
      <w:color w:val="0F4761"/>
    </w:rPr>
  </w:style>
  <w:style w:type="paragraph" w:styleId="Prrafodelista">
    <w:name w:val="List Paragraph"/>
    <w:basedOn w:val="Normal"/>
    <w:uiPriority w:val="34"/>
    <w:qFormat/>
    <w:pPr>
      <w:ind w:left="720"/>
      <w:contextualSpacing/>
    </w:pPr>
  </w:style>
  <w:style w:type="paragraph" w:styleId="Cita">
    <w:name w:val="Quote"/>
    <w:basedOn w:val="Normal"/>
    <w:next w:val="Normal"/>
    <w:qFormat/>
    <w:pPr>
      <w:spacing w:before="160"/>
      <w:jc w:val="center"/>
    </w:pPr>
    <w:rPr>
      <w:i/>
      <w:iCs/>
      <w:color w:val="404040"/>
    </w:rPr>
  </w:style>
  <w:style w:type="paragraph" w:customStyle="1" w:styleId="caption1">
    <w:name w:val="caption1"/>
    <w:basedOn w:val="Normal"/>
    <w:qFormat/>
    <w:pPr>
      <w:spacing w:before="120" w:after="120"/>
    </w:pPr>
    <w:rPr>
      <w:i/>
      <w:iCs/>
    </w:rPr>
  </w:style>
  <w:style w:type="paragraph" w:customStyle="1" w:styleId="Contenidodelatabla">
    <w:name w:val="Contenido de la tabla"/>
    <w:basedOn w:val="Normal"/>
    <w:qFormat/>
    <w:rsid w:val="003F62E5"/>
    <w:pPr>
      <w:widowControl w:val="0"/>
      <w:suppressLineNumbers/>
    </w:pPr>
    <w:rPr>
      <w:rFonts w:ascii="Times New Roman" w:eastAsia="NSimSun" w:hAnsi="Times New Roman" w:cs="Lucida Sans"/>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425</Words>
  <Characters>2340</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36</cp:revision>
  <dcterms:created xsi:type="dcterms:W3CDTF">2025-12-25T23:12:00Z</dcterms:created>
  <dcterms:modified xsi:type="dcterms:W3CDTF">2026-01-05T08:55:00Z</dcterms:modified>
  <dc:language>es-ES</dc:language>
</cp:coreProperties>
</file>